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C79C7" w14:textId="5BFD2583" w:rsidR="005E2EBB" w:rsidRDefault="005E2EBB" w:rsidP="005E2EBB">
      <w:pPr>
        <w:tabs>
          <w:tab w:val="left" w:pos="2552"/>
        </w:tabs>
        <w:spacing w:after="0" w:line="240" w:lineRule="auto"/>
        <w:jc w:val="right"/>
        <w:rPr>
          <w:b/>
          <w:bCs/>
          <w:sz w:val="24"/>
          <w:szCs w:val="24"/>
        </w:rPr>
      </w:pPr>
      <w:r>
        <w:rPr>
          <w:b/>
          <w:bCs/>
        </w:rPr>
        <w:t>.</w:t>
      </w:r>
    </w:p>
    <w:p w14:paraId="07076FB8" w14:textId="028C7AA3" w:rsidR="003375F1" w:rsidRPr="003375F1" w:rsidRDefault="005E2EBB" w:rsidP="003375F1">
      <w:pPr>
        <w:tabs>
          <w:tab w:val="left" w:pos="2552"/>
        </w:tabs>
        <w:spacing w:after="0" w:line="240" w:lineRule="auto"/>
        <w:jc w:val="right"/>
        <w:rPr>
          <w:i/>
          <w:iCs/>
          <w:sz w:val="32"/>
          <w:szCs w:val="32"/>
        </w:rPr>
      </w:pPr>
      <w:r>
        <w:rPr>
          <w:i/>
          <w:iCs/>
          <w:sz w:val="32"/>
          <w:szCs w:val="32"/>
        </w:rPr>
        <w:t>1</w:t>
      </w:r>
      <w:r w:rsidR="009321C6">
        <w:rPr>
          <w:i/>
          <w:iCs/>
          <w:sz w:val="32"/>
          <w:szCs w:val="32"/>
        </w:rPr>
        <w:t>1</w:t>
      </w:r>
      <w:r w:rsidR="003375F1" w:rsidRPr="003375F1">
        <w:rPr>
          <w:i/>
          <w:iCs/>
          <w:sz w:val="32"/>
          <w:szCs w:val="32"/>
        </w:rPr>
        <w:t>.0</w:t>
      </w:r>
      <w:r>
        <w:rPr>
          <w:i/>
          <w:iCs/>
          <w:sz w:val="32"/>
          <w:szCs w:val="32"/>
        </w:rPr>
        <w:t>4</w:t>
      </w:r>
      <w:r w:rsidR="003375F1" w:rsidRPr="003375F1">
        <w:rPr>
          <w:i/>
          <w:iCs/>
          <w:sz w:val="32"/>
          <w:szCs w:val="32"/>
        </w:rPr>
        <w:t>.2024</w:t>
      </w:r>
    </w:p>
    <w:p w14:paraId="447D80C2" w14:textId="77777777" w:rsidR="003375F1" w:rsidRDefault="003375F1" w:rsidP="00180632">
      <w:pPr>
        <w:tabs>
          <w:tab w:val="left" w:pos="2552"/>
        </w:tabs>
        <w:spacing w:after="0" w:line="240" w:lineRule="auto"/>
        <w:jc w:val="center"/>
        <w:rPr>
          <w:b/>
          <w:bCs/>
          <w:sz w:val="32"/>
          <w:szCs w:val="32"/>
        </w:rPr>
      </w:pPr>
    </w:p>
    <w:p w14:paraId="6225D153" w14:textId="43558FE1" w:rsidR="004462F8" w:rsidRPr="00180632" w:rsidRDefault="00180632" w:rsidP="00180632">
      <w:pPr>
        <w:tabs>
          <w:tab w:val="left" w:pos="2552"/>
        </w:tabs>
        <w:spacing w:after="0" w:line="240" w:lineRule="auto"/>
        <w:jc w:val="center"/>
        <w:rPr>
          <w:b/>
          <w:bCs/>
          <w:sz w:val="32"/>
          <w:szCs w:val="32"/>
        </w:rPr>
      </w:pPr>
      <w:r w:rsidRPr="00180632">
        <w:rPr>
          <w:b/>
          <w:bCs/>
          <w:sz w:val="32"/>
          <w:szCs w:val="32"/>
        </w:rPr>
        <w:t>ETTEPANEKUD</w:t>
      </w:r>
    </w:p>
    <w:p w14:paraId="5FDC4A65" w14:textId="77674412" w:rsidR="004462F8" w:rsidRPr="00180632" w:rsidRDefault="00180632" w:rsidP="00180632">
      <w:pPr>
        <w:tabs>
          <w:tab w:val="left" w:pos="2552"/>
        </w:tabs>
        <w:spacing w:after="0" w:line="240" w:lineRule="auto"/>
        <w:jc w:val="center"/>
        <w:rPr>
          <w:b/>
          <w:bCs/>
          <w:sz w:val="32"/>
          <w:szCs w:val="32"/>
        </w:rPr>
      </w:pPr>
      <w:r w:rsidRPr="00180632">
        <w:rPr>
          <w:b/>
          <w:bCs/>
          <w:sz w:val="32"/>
          <w:szCs w:val="32"/>
        </w:rPr>
        <w:t>KOHALIKE OMAVALITSUSTE TULUBAASI</w:t>
      </w:r>
    </w:p>
    <w:p w14:paraId="2728F3EF" w14:textId="44059425" w:rsidR="004462F8" w:rsidRDefault="00180632" w:rsidP="00180632">
      <w:pPr>
        <w:tabs>
          <w:tab w:val="left" w:pos="2552"/>
        </w:tabs>
        <w:spacing w:after="0" w:line="240" w:lineRule="auto"/>
        <w:jc w:val="center"/>
        <w:rPr>
          <w:b/>
          <w:bCs/>
          <w:sz w:val="32"/>
          <w:szCs w:val="32"/>
        </w:rPr>
      </w:pPr>
      <w:r w:rsidRPr="00180632">
        <w:rPr>
          <w:b/>
          <w:bCs/>
          <w:sz w:val="32"/>
          <w:szCs w:val="32"/>
        </w:rPr>
        <w:t>MUUDATUSTEKS</w:t>
      </w:r>
      <w:r>
        <w:rPr>
          <w:b/>
          <w:bCs/>
          <w:sz w:val="32"/>
          <w:szCs w:val="32"/>
        </w:rPr>
        <w:t xml:space="preserve"> </w:t>
      </w:r>
    </w:p>
    <w:p w14:paraId="44DEE3EA" w14:textId="77777777" w:rsidR="005E2EBB" w:rsidRDefault="005E2EBB" w:rsidP="004462F8">
      <w:pPr>
        <w:tabs>
          <w:tab w:val="left" w:pos="2552"/>
        </w:tabs>
        <w:spacing w:after="0" w:line="240" w:lineRule="auto"/>
        <w:rPr>
          <w:b/>
          <w:bCs/>
          <w:sz w:val="24"/>
          <w:szCs w:val="24"/>
        </w:rPr>
      </w:pPr>
    </w:p>
    <w:p w14:paraId="143966E8" w14:textId="77777777" w:rsidR="005E2EBB" w:rsidRDefault="005E2EBB" w:rsidP="004462F8">
      <w:pPr>
        <w:tabs>
          <w:tab w:val="left" w:pos="2552"/>
        </w:tabs>
        <w:spacing w:after="0" w:line="240" w:lineRule="auto"/>
        <w:rPr>
          <w:b/>
          <w:bCs/>
          <w:sz w:val="24"/>
          <w:szCs w:val="24"/>
        </w:rPr>
      </w:pPr>
    </w:p>
    <w:p w14:paraId="3ADC1CE4" w14:textId="77777777" w:rsidR="009321C6" w:rsidRPr="00187E74" w:rsidRDefault="009321C6" w:rsidP="009321C6">
      <w:pPr>
        <w:tabs>
          <w:tab w:val="left" w:pos="2552"/>
        </w:tabs>
        <w:spacing w:after="0" w:line="240" w:lineRule="auto"/>
        <w:rPr>
          <w:b/>
          <w:bCs/>
          <w:sz w:val="24"/>
          <w:szCs w:val="24"/>
        </w:rPr>
      </w:pPr>
      <w:r w:rsidRPr="00187E74">
        <w:rPr>
          <w:b/>
          <w:bCs/>
          <w:sz w:val="24"/>
          <w:szCs w:val="24"/>
        </w:rPr>
        <w:t>SISUKOKKUVÕTE:</w:t>
      </w:r>
    </w:p>
    <w:p w14:paraId="294D2E45" w14:textId="77777777" w:rsidR="009321C6" w:rsidRPr="00823ACB" w:rsidRDefault="009321C6" w:rsidP="009321C6">
      <w:pPr>
        <w:spacing w:after="0" w:line="240" w:lineRule="auto"/>
        <w:jc w:val="both"/>
        <w:rPr>
          <w:color w:val="000000"/>
          <w:sz w:val="24"/>
          <w:szCs w:val="24"/>
        </w:rPr>
      </w:pPr>
    </w:p>
    <w:p w14:paraId="10F4E5EF" w14:textId="77777777" w:rsidR="009321C6" w:rsidRDefault="009321C6" w:rsidP="009321C6">
      <w:pPr>
        <w:spacing w:after="0" w:line="240" w:lineRule="auto"/>
        <w:jc w:val="both"/>
        <w:rPr>
          <w:color w:val="000000"/>
          <w:sz w:val="24"/>
          <w:szCs w:val="24"/>
        </w:rPr>
      </w:pPr>
      <w:r w:rsidRPr="0051443C">
        <w:rPr>
          <w:color w:val="000000"/>
          <w:sz w:val="24"/>
          <w:szCs w:val="24"/>
        </w:rPr>
        <w:t>Vabariigi Valitsuse tegevusprogrammi (edaspidi VVTP) 2023-202</w:t>
      </w:r>
      <w:r>
        <w:rPr>
          <w:color w:val="000000"/>
          <w:sz w:val="24"/>
          <w:szCs w:val="24"/>
        </w:rPr>
        <w:t>7</w:t>
      </w:r>
      <w:r w:rsidRPr="0051443C">
        <w:rPr>
          <w:color w:val="000000"/>
          <w:sz w:val="24"/>
          <w:szCs w:val="24"/>
        </w:rPr>
        <w:t xml:space="preserve"> punkt nr 7.1.2 näeb ette omavalitsuste (edaspidi </w:t>
      </w:r>
      <w:r w:rsidRPr="00CD3E2A">
        <w:rPr>
          <w:i/>
          <w:iCs/>
          <w:color w:val="000000"/>
          <w:sz w:val="24"/>
          <w:szCs w:val="24"/>
        </w:rPr>
        <w:t>KOV</w:t>
      </w:r>
      <w:r w:rsidRPr="0051443C">
        <w:rPr>
          <w:color w:val="000000"/>
          <w:sz w:val="24"/>
          <w:szCs w:val="24"/>
        </w:rPr>
        <w:t>) tulubaasi tasakaalustamist</w:t>
      </w:r>
      <w:r>
        <w:rPr>
          <w:color w:val="000000"/>
          <w:sz w:val="24"/>
          <w:szCs w:val="24"/>
        </w:rPr>
        <w:t>,</w:t>
      </w:r>
      <w:r w:rsidRPr="0051443C">
        <w:rPr>
          <w:color w:val="000000"/>
          <w:sz w:val="24"/>
          <w:szCs w:val="24"/>
        </w:rPr>
        <w:t xml:space="preserve"> et vähendada valglinnastumise ja regionaalse mahajäämuse negatiivseid mõjusid, arvestades mh rahvastiku jaotust ja töökohtade paiknemist.</w:t>
      </w:r>
    </w:p>
    <w:p w14:paraId="1E25C5A3" w14:textId="77777777" w:rsidR="009321C6" w:rsidRDefault="009321C6" w:rsidP="009321C6">
      <w:pPr>
        <w:spacing w:after="0" w:line="240" w:lineRule="auto"/>
        <w:jc w:val="both"/>
        <w:rPr>
          <w:color w:val="000000"/>
          <w:sz w:val="24"/>
          <w:szCs w:val="24"/>
        </w:rPr>
      </w:pPr>
    </w:p>
    <w:p w14:paraId="2A1BC074" w14:textId="77777777" w:rsidR="009321C6" w:rsidRDefault="009321C6" w:rsidP="009321C6">
      <w:pPr>
        <w:spacing w:after="0" w:line="240" w:lineRule="auto"/>
        <w:jc w:val="both"/>
        <w:rPr>
          <w:color w:val="000000"/>
          <w:sz w:val="24"/>
          <w:szCs w:val="24"/>
        </w:rPr>
      </w:pPr>
      <w:r>
        <w:rPr>
          <w:color w:val="000000"/>
          <w:sz w:val="24"/>
          <w:szCs w:val="24"/>
        </w:rPr>
        <w:t>Memorandumis esitatavad ettepanekud puudutavad füüsilise isiku tulumaksu jaotuspõhimõtete muutmist, suurendades tulumaksu laekumist pensionituludelt ja vähendades laekumist muudelt tuludelt.</w:t>
      </w:r>
    </w:p>
    <w:p w14:paraId="05B2EB80" w14:textId="77777777" w:rsidR="009321C6" w:rsidRDefault="009321C6" w:rsidP="009321C6">
      <w:pPr>
        <w:spacing w:after="0" w:line="240" w:lineRule="auto"/>
        <w:jc w:val="both"/>
        <w:rPr>
          <w:color w:val="000000"/>
          <w:sz w:val="24"/>
          <w:szCs w:val="24"/>
        </w:rPr>
      </w:pPr>
    </w:p>
    <w:p w14:paraId="3C013A4F" w14:textId="77777777" w:rsidR="009321C6" w:rsidRPr="00823ACB" w:rsidRDefault="009321C6" w:rsidP="009321C6">
      <w:pPr>
        <w:spacing w:after="0" w:line="240" w:lineRule="auto"/>
        <w:jc w:val="both"/>
        <w:rPr>
          <w:b/>
          <w:bCs/>
          <w:color w:val="000000"/>
          <w:sz w:val="24"/>
          <w:szCs w:val="24"/>
        </w:rPr>
      </w:pPr>
      <w:r>
        <w:rPr>
          <w:b/>
          <w:bCs/>
          <w:color w:val="000000"/>
          <w:sz w:val="24"/>
          <w:szCs w:val="24"/>
        </w:rPr>
        <w:t>HETKEOLUKORD</w:t>
      </w:r>
    </w:p>
    <w:p w14:paraId="1626B401" w14:textId="77777777" w:rsidR="009321C6" w:rsidRPr="00823ACB" w:rsidRDefault="009321C6" w:rsidP="009321C6">
      <w:pPr>
        <w:spacing w:after="0" w:line="240" w:lineRule="auto"/>
        <w:jc w:val="both"/>
        <w:rPr>
          <w:color w:val="000000"/>
          <w:sz w:val="24"/>
          <w:szCs w:val="24"/>
        </w:rPr>
      </w:pPr>
    </w:p>
    <w:p w14:paraId="65D452E4" w14:textId="77777777" w:rsidR="009321C6" w:rsidRDefault="009321C6" w:rsidP="009321C6">
      <w:pPr>
        <w:spacing w:after="0" w:line="240" w:lineRule="auto"/>
        <w:jc w:val="both"/>
        <w:rPr>
          <w:sz w:val="24"/>
          <w:szCs w:val="24"/>
        </w:rPr>
      </w:pPr>
      <w:r>
        <w:rPr>
          <w:sz w:val="24"/>
          <w:szCs w:val="24"/>
        </w:rPr>
        <w:t xml:space="preserve">OECD riikides on viimase 20 a jooksul riigisisesed regionaalsed erinevused suurenenud, sest eelkõige nooremad inimesed liiguvad piirkondadesse, kus on tasuvam töö, paremad elamistingimused ja teenused. See tähendab, et enamasti suurlinnad koos ümbritsevate aladega kasvatavad elanike arvu, jõukust ja heaolu ning kaugemate regioonide mahajäämus suureneb väljarände tõttu. Vähem atraktiivsed piirkonnad seisavad silmitsi väheneva elanike arvu, vananeva elanikkonnaga ja sellest tingitud eelarve kulude kasvuga, sest teenuste ühikuhinnad on kõrgemad kui kasvupiirkondades.   </w:t>
      </w:r>
    </w:p>
    <w:p w14:paraId="1D7CEE70" w14:textId="77777777" w:rsidR="009321C6" w:rsidRDefault="009321C6" w:rsidP="009321C6">
      <w:pPr>
        <w:spacing w:after="0" w:line="240" w:lineRule="auto"/>
        <w:jc w:val="both"/>
        <w:rPr>
          <w:sz w:val="24"/>
          <w:szCs w:val="24"/>
        </w:rPr>
      </w:pPr>
    </w:p>
    <w:p w14:paraId="5CD410F5" w14:textId="77777777" w:rsidR="009321C6" w:rsidRDefault="009321C6" w:rsidP="009321C6">
      <w:pPr>
        <w:spacing w:after="0" w:line="240" w:lineRule="auto"/>
        <w:jc w:val="both"/>
        <w:rPr>
          <w:sz w:val="24"/>
          <w:szCs w:val="24"/>
        </w:rPr>
      </w:pPr>
      <w:r>
        <w:rPr>
          <w:sz w:val="24"/>
          <w:szCs w:val="24"/>
        </w:rPr>
        <w:t>Ligi</w:t>
      </w:r>
      <w:r w:rsidRPr="00F27E5A">
        <w:rPr>
          <w:sz w:val="24"/>
          <w:szCs w:val="24"/>
        </w:rPr>
        <w:t xml:space="preserve"> 20 aastaga on väljaspool Harjumaad ja Tartumaad elanike arv vähenenud </w:t>
      </w:r>
      <w:r>
        <w:rPr>
          <w:sz w:val="24"/>
          <w:szCs w:val="24"/>
        </w:rPr>
        <w:t>ligi</w:t>
      </w:r>
      <w:r w:rsidRPr="00F27E5A">
        <w:rPr>
          <w:sz w:val="24"/>
          <w:szCs w:val="24"/>
        </w:rPr>
        <w:t xml:space="preserve"> 20%. Väljaspool Tartu ja Harjumaad on jäänud vähemaks lapsi ja tööealisi 26% (150 tuhat inimest), kuid samal ajal on kasvanud üle 65-aastaste arv 14% (17 tuhat). </w:t>
      </w:r>
      <w:r>
        <w:rPr>
          <w:sz w:val="24"/>
          <w:szCs w:val="24"/>
        </w:rPr>
        <w:t>Nooremaealised inimesed ja kõrgemapalgalised töökohad on kogunenud eelkõige Tallinna ja selle ümbruse KOVidesse (vt joonis nr 1). Sellest tulenevalt on näitaja SKP per elanik regionaalsed erinevused suured ja ei ole viimase 10 a jooksul vähenenud (vt joonis nr 2) ning see väljendub ka keskmise palga statistikas (vt joonis nr 3). Regionaalset ebavõrdsust suurendab suhtelises vaesuses elavate inimeste osakaal (vt joonis nr 4).</w:t>
      </w:r>
    </w:p>
    <w:p w14:paraId="4E9B71C7" w14:textId="77777777" w:rsidR="009321C6" w:rsidRDefault="009321C6" w:rsidP="009321C6">
      <w:pPr>
        <w:spacing w:after="0" w:line="240" w:lineRule="auto"/>
        <w:jc w:val="both"/>
        <w:rPr>
          <w:sz w:val="24"/>
          <w:szCs w:val="24"/>
        </w:rPr>
      </w:pPr>
    </w:p>
    <w:p w14:paraId="3C68B2EA" w14:textId="77777777" w:rsidR="009321C6" w:rsidRDefault="009321C6" w:rsidP="009321C6">
      <w:pPr>
        <w:spacing w:after="0" w:line="240" w:lineRule="auto"/>
        <w:jc w:val="both"/>
        <w:rPr>
          <w:sz w:val="24"/>
          <w:szCs w:val="24"/>
        </w:rPr>
      </w:pPr>
    </w:p>
    <w:p w14:paraId="06EDF0D0" w14:textId="77777777" w:rsidR="009321C6" w:rsidRDefault="009321C6" w:rsidP="009321C6">
      <w:pPr>
        <w:spacing w:after="0" w:line="240" w:lineRule="auto"/>
        <w:jc w:val="both"/>
        <w:rPr>
          <w:sz w:val="24"/>
          <w:szCs w:val="24"/>
        </w:rPr>
      </w:pPr>
    </w:p>
    <w:p w14:paraId="29393760" w14:textId="77777777" w:rsidR="009321C6" w:rsidRDefault="009321C6" w:rsidP="009321C6">
      <w:pPr>
        <w:spacing w:after="0" w:line="240" w:lineRule="auto"/>
        <w:jc w:val="both"/>
        <w:rPr>
          <w:sz w:val="24"/>
          <w:szCs w:val="24"/>
        </w:rPr>
      </w:pPr>
    </w:p>
    <w:p w14:paraId="1F2C6AD1" w14:textId="77777777" w:rsidR="009321C6" w:rsidRDefault="009321C6" w:rsidP="009321C6">
      <w:pPr>
        <w:spacing w:after="0" w:line="240" w:lineRule="auto"/>
        <w:jc w:val="both"/>
        <w:rPr>
          <w:sz w:val="24"/>
          <w:szCs w:val="24"/>
        </w:rPr>
      </w:pPr>
    </w:p>
    <w:p w14:paraId="5E57FC4F" w14:textId="77777777" w:rsidR="009321C6" w:rsidRDefault="009321C6" w:rsidP="009321C6">
      <w:pPr>
        <w:spacing w:after="0" w:line="240" w:lineRule="auto"/>
        <w:jc w:val="both"/>
        <w:rPr>
          <w:sz w:val="24"/>
          <w:szCs w:val="24"/>
        </w:rPr>
      </w:pPr>
    </w:p>
    <w:p w14:paraId="2E6D915A" w14:textId="77777777" w:rsidR="009321C6" w:rsidRDefault="009321C6" w:rsidP="009321C6">
      <w:pPr>
        <w:spacing w:after="0" w:line="240" w:lineRule="auto"/>
        <w:jc w:val="both"/>
        <w:rPr>
          <w:sz w:val="24"/>
          <w:szCs w:val="24"/>
        </w:rPr>
      </w:pPr>
    </w:p>
    <w:p w14:paraId="604E95B0" w14:textId="77777777" w:rsidR="009321C6" w:rsidRDefault="009321C6" w:rsidP="009321C6">
      <w:pPr>
        <w:spacing w:after="0" w:line="240" w:lineRule="auto"/>
        <w:jc w:val="both"/>
        <w:rPr>
          <w:sz w:val="24"/>
          <w:szCs w:val="24"/>
        </w:rPr>
      </w:pPr>
    </w:p>
    <w:p w14:paraId="17A489C3" w14:textId="77777777" w:rsidR="009321C6" w:rsidRDefault="009321C6" w:rsidP="009321C6">
      <w:pPr>
        <w:spacing w:after="0" w:line="240" w:lineRule="auto"/>
        <w:jc w:val="both"/>
        <w:rPr>
          <w:sz w:val="24"/>
          <w:szCs w:val="24"/>
        </w:rPr>
      </w:pPr>
    </w:p>
    <w:p w14:paraId="1E45ADA5" w14:textId="77777777" w:rsidR="009321C6" w:rsidRDefault="009321C6" w:rsidP="009321C6">
      <w:pPr>
        <w:spacing w:after="0" w:line="240" w:lineRule="auto"/>
        <w:jc w:val="both"/>
        <w:rPr>
          <w:sz w:val="24"/>
          <w:szCs w:val="24"/>
        </w:rPr>
      </w:pPr>
      <w:r>
        <w:rPr>
          <w:sz w:val="24"/>
          <w:szCs w:val="24"/>
        </w:rPr>
        <w:lastRenderedPageBreak/>
        <w:t>Joonis 1 Elanike arvu muutus 2013 - 2022</w:t>
      </w:r>
    </w:p>
    <w:p w14:paraId="7223686F" w14:textId="14246E12" w:rsidR="009321C6" w:rsidRDefault="009321C6" w:rsidP="009321C6">
      <w:pPr>
        <w:spacing w:after="0" w:line="240" w:lineRule="auto"/>
        <w:ind w:hanging="142"/>
        <w:jc w:val="both"/>
        <w:rPr>
          <w:sz w:val="24"/>
          <w:szCs w:val="24"/>
        </w:rPr>
      </w:pPr>
      <w:r w:rsidRPr="00D01348">
        <w:rPr>
          <w:noProof/>
          <w:sz w:val="24"/>
          <w:szCs w:val="24"/>
        </w:rPr>
        <w:drawing>
          <wp:inline distT="0" distB="0" distL="0" distR="0" wp14:anchorId="34D0F95F" wp14:editId="09EAEA1F">
            <wp:extent cx="5760720" cy="3879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79850"/>
                    </a:xfrm>
                    <a:prstGeom prst="rect">
                      <a:avLst/>
                    </a:prstGeom>
                    <a:noFill/>
                    <a:ln>
                      <a:noFill/>
                    </a:ln>
                  </pic:spPr>
                </pic:pic>
              </a:graphicData>
            </a:graphic>
          </wp:inline>
        </w:drawing>
      </w:r>
    </w:p>
    <w:p w14:paraId="536A4DD4" w14:textId="77777777" w:rsidR="009321C6" w:rsidRDefault="009321C6" w:rsidP="009321C6">
      <w:pPr>
        <w:spacing w:after="0" w:line="240" w:lineRule="auto"/>
        <w:jc w:val="both"/>
        <w:rPr>
          <w:sz w:val="24"/>
          <w:szCs w:val="24"/>
        </w:rPr>
      </w:pPr>
    </w:p>
    <w:p w14:paraId="3038A03F" w14:textId="77777777" w:rsidR="009321C6" w:rsidRDefault="009321C6" w:rsidP="009321C6">
      <w:pPr>
        <w:spacing w:after="0" w:line="240" w:lineRule="auto"/>
        <w:jc w:val="both"/>
        <w:rPr>
          <w:sz w:val="24"/>
          <w:szCs w:val="24"/>
        </w:rPr>
      </w:pPr>
      <w:r>
        <w:rPr>
          <w:sz w:val="24"/>
          <w:szCs w:val="24"/>
        </w:rPr>
        <w:t>Joonis 2 Regionaalne SKP elaniku kohta võrdluses EL keskmisega 2021</w:t>
      </w:r>
    </w:p>
    <w:p w14:paraId="07686FC0" w14:textId="5CA1F93A" w:rsidR="009321C6" w:rsidRDefault="009321C6" w:rsidP="009321C6">
      <w:pPr>
        <w:spacing w:after="0" w:line="240" w:lineRule="auto"/>
        <w:ind w:hanging="142"/>
        <w:jc w:val="both"/>
        <w:rPr>
          <w:sz w:val="24"/>
          <w:szCs w:val="24"/>
        </w:rPr>
      </w:pPr>
      <w:r w:rsidRPr="00D01348">
        <w:rPr>
          <w:noProof/>
          <w:sz w:val="24"/>
          <w:szCs w:val="24"/>
        </w:rPr>
        <w:drawing>
          <wp:inline distT="0" distB="0" distL="0" distR="0" wp14:anchorId="4FFB8B0D" wp14:editId="523F0646">
            <wp:extent cx="5760720" cy="3776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76345"/>
                    </a:xfrm>
                    <a:prstGeom prst="rect">
                      <a:avLst/>
                    </a:prstGeom>
                    <a:noFill/>
                    <a:ln>
                      <a:noFill/>
                    </a:ln>
                  </pic:spPr>
                </pic:pic>
              </a:graphicData>
            </a:graphic>
          </wp:inline>
        </w:drawing>
      </w:r>
    </w:p>
    <w:p w14:paraId="4C93CA94" w14:textId="77777777" w:rsidR="009321C6" w:rsidRDefault="009321C6" w:rsidP="009321C6">
      <w:pPr>
        <w:spacing w:after="0" w:line="240" w:lineRule="auto"/>
        <w:jc w:val="both"/>
        <w:rPr>
          <w:sz w:val="24"/>
          <w:szCs w:val="24"/>
        </w:rPr>
      </w:pPr>
    </w:p>
    <w:p w14:paraId="5CCF6196" w14:textId="77777777" w:rsidR="009321C6" w:rsidRDefault="009321C6" w:rsidP="009321C6">
      <w:pPr>
        <w:spacing w:after="0" w:line="240" w:lineRule="auto"/>
        <w:jc w:val="both"/>
        <w:rPr>
          <w:sz w:val="24"/>
          <w:szCs w:val="24"/>
        </w:rPr>
      </w:pPr>
    </w:p>
    <w:p w14:paraId="1ADF9ED2" w14:textId="77777777" w:rsidR="009321C6" w:rsidRDefault="009321C6" w:rsidP="009321C6">
      <w:pPr>
        <w:spacing w:after="0" w:line="240" w:lineRule="auto"/>
        <w:jc w:val="both"/>
        <w:rPr>
          <w:sz w:val="24"/>
          <w:szCs w:val="24"/>
        </w:rPr>
      </w:pPr>
    </w:p>
    <w:p w14:paraId="1CCCDEC3" w14:textId="77777777" w:rsidR="009321C6" w:rsidRDefault="009321C6" w:rsidP="009321C6">
      <w:pPr>
        <w:spacing w:after="0" w:line="240" w:lineRule="auto"/>
        <w:jc w:val="both"/>
        <w:rPr>
          <w:sz w:val="24"/>
          <w:szCs w:val="24"/>
        </w:rPr>
      </w:pPr>
      <w:r>
        <w:rPr>
          <w:sz w:val="24"/>
          <w:szCs w:val="24"/>
        </w:rPr>
        <w:lastRenderedPageBreak/>
        <w:t>Joonis 3 Keskmine palk maakonniti 2013-2022</w:t>
      </w:r>
    </w:p>
    <w:p w14:paraId="7A8A9682" w14:textId="3EB9476F" w:rsidR="009321C6" w:rsidRDefault="009321C6" w:rsidP="009321C6">
      <w:pPr>
        <w:spacing w:after="0" w:line="240" w:lineRule="auto"/>
        <w:ind w:hanging="142"/>
        <w:jc w:val="both"/>
        <w:rPr>
          <w:sz w:val="24"/>
          <w:szCs w:val="24"/>
        </w:rPr>
      </w:pPr>
      <w:r w:rsidRPr="00D01348">
        <w:rPr>
          <w:noProof/>
          <w:sz w:val="24"/>
          <w:szCs w:val="24"/>
        </w:rPr>
        <w:drawing>
          <wp:inline distT="0" distB="0" distL="0" distR="0" wp14:anchorId="00124DE4" wp14:editId="172E4E54">
            <wp:extent cx="576072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708" cy="3810653"/>
                    </a:xfrm>
                    <a:prstGeom prst="rect">
                      <a:avLst/>
                    </a:prstGeom>
                    <a:noFill/>
                    <a:ln>
                      <a:noFill/>
                    </a:ln>
                  </pic:spPr>
                </pic:pic>
              </a:graphicData>
            </a:graphic>
          </wp:inline>
        </w:drawing>
      </w:r>
    </w:p>
    <w:p w14:paraId="31BCF7DB" w14:textId="77777777" w:rsidR="009321C6" w:rsidRDefault="009321C6" w:rsidP="009321C6">
      <w:pPr>
        <w:spacing w:after="0" w:line="240" w:lineRule="auto"/>
        <w:jc w:val="both"/>
        <w:rPr>
          <w:sz w:val="24"/>
          <w:szCs w:val="24"/>
        </w:rPr>
      </w:pPr>
    </w:p>
    <w:p w14:paraId="397D6580" w14:textId="77777777" w:rsidR="009321C6" w:rsidRDefault="009321C6" w:rsidP="009321C6">
      <w:pPr>
        <w:spacing w:after="0" w:line="240" w:lineRule="auto"/>
        <w:jc w:val="both"/>
        <w:rPr>
          <w:sz w:val="24"/>
          <w:szCs w:val="24"/>
        </w:rPr>
      </w:pPr>
      <w:r>
        <w:rPr>
          <w:sz w:val="24"/>
          <w:szCs w:val="24"/>
        </w:rPr>
        <w:t xml:space="preserve">Joonis 4 </w:t>
      </w:r>
      <w:r w:rsidRPr="0004359B">
        <w:rPr>
          <w:sz w:val="24"/>
          <w:szCs w:val="24"/>
        </w:rPr>
        <w:t>Suhtelise vaesuse määr maakonniti, 2022 võrreldes 2021</w:t>
      </w:r>
      <w:r>
        <w:rPr>
          <w:rStyle w:val="FootnoteReference"/>
          <w:sz w:val="24"/>
          <w:szCs w:val="24"/>
        </w:rPr>
        <w:footnoteReference w:id="1"/>
      </w:r>
    </w:p>
    <w:p w14:paraId="1AABAA48" w14:textId="7B3287B9" w:rsidR="009321C6" w:rsidRDefault="009321C6" w:rsidP="009321C6">
      <w:pPr>
        <w:spacing w:after="0" w:line="240" w:lineRule="auto"/>
        <w:jc w:val="both"/>
        <w:rPr>
          <w:sz w:val="24"/>
          <w:szCs w:val="24"/>
        </w:rPr>
      </w:pPr>
      <w:r>
        <w:rPr>
          <w:noProof/>
          <w:sz w:val="24"/>
          <w:szCs w:val="24"/>
        </w:rPr>
        <w:drawing>
          <wp:inline distT="0" distB="0" distL="0" distR="0" wp14:anchorId="39F2CCC5" wp14:editId="127773D0">
            <wp:extent cx="5605035" cy="3942080"/>
            <wp:effectExtent l="19050" t="19050" r="1524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124" cy="3946362"/>
                    </a:xfrm>
                    <a:prstGeom prst="rect">
                      <a:avLst/>
                    </a:prstGeom>
                    <a:noFill/>
                    <a:ln w="3175">
                      <a:solidFill>
                        <a:srgbClr val="000000"/>
                      </a:solidFill>
                      <a:miter lim="800000"/>
                      <a:headEnd/>
                      <a:tailEnd/>
                    </a:ln>
                  </pic:spPr>
                </pic:pic>
              </a:graphicData>
            </a:graphic>
          </wp:inline>
        </w:drawing>
      </w:r>
    </w:p>
    <w:p w14:paraId="741E2928" w14:textId="77777777" w:rsidR="009321C6" w:rsidRDefault="009321C6" w:rsidP="009321C6">
      <w:pPr>
        <w:spacing w:after="0" w:line="240" w:lineRule="auto"/>
        <w:jc w:val="both"/>
        <w:rPr>
          <w:sz w:val="24"/>
          <w:szCs w:val="24"/>
        </w:rPr>
      </w:pPr>
      <w:r>
        <w:rPr>
          <w:sz w:val="24"/>
          <w:szCs w:val="24"/>
        </w:rPr>
        <w:lastRenderedPageBreak/>
        <w:t>Eelpool joonistel näha olevad suured regionaalsed erinevused on põhjustanud suure regionaalse ebavõrduse KOVide tulubaasis elaniku kohta</w:t>
      </w:r>
      <w:r>
        <w:rPr>
          <w:rStyle w:val="FootnoteReference"/>
          <w:sz w:val="24"/>
          <w:szCs w:val="24"/>
        </w:rPr>
        <w:footnoteReference w:id="2"/>
      </w:r>
      <w:r>
        <w:rPr>
          <w:sz w:val="24"/>
          <w:szCs w:val="24"/>
        </w:rPr>
        <w:t xml:space="preserve">. </w:t>
      </w:r>
    </w:p>
    <w:p w14:paraId="441DD98B" w14:textId="77777777" w:rsidR="009321C6" w:rsidRDefault="009321C6" w:rsidP="009321C6">
      <w:pPr>
        <w:spacing w:after="0" w:line="240" w:lineRule="auto"/>
        <w:jc w:val="both"/>
        <w:rPr>
          <w:sz w:val="24"/>
          <w:szCs w:val="24"/>
        </w:rPr>
      </w:pPr>
    </w:p>
    <w:p w14:paraId="482F86A2" w14:textId="77777777" w:rsidR="009321C6" w:rsidRDefault="009321C6" w:rsidP="009321C6">
      <w:pPr>
        <w:spacing w:after="0" w:line="240" w:lineRule="auto"/>
        <w:jc w:val="both"/>
        <w:rPr>
          <w:sz w:val="24"/>
          <w:szCs w:val="24"/>
        </w:rPr>
      </w:pPr>
      <w:r>
        <w:rPr>
          <w:sz w:val="24"/>
          <w:szCs w:val="24"/>
        </w:rPr>
        <w:t>Väiksem tulukus elaniku kohta tähendab vähem vahendeid omavalitsuslike teenuste korraldamiseks võrreldes tulukamate KOVidega. Teenustasemete rakendusest</w:t>
      </w:r>
      <w:r>
        <w:rPr>
          <w:rStyle w:val="FootnoteReference"/>
          <w:sz w:val="24"/>
          <w:szCs w:val="24"/>
        </w:rPr>
        <w:footnoteReference w:id="3"/>
      </w:r>
      <w:r>
        <w:rPr>
          <w:sz w:val="24"/>
          <w:szCs w:val="24"/>
        </w:rPr>
        <w:t xml:space="preserve"> selgub, et vähem tulukate KOVide teenustasemed on kehvemad kui tulukatel (vt joonis 5). E</w:t>
      </w:r>
      <w:r w:rsidRPr="007A19F3">
        <w:rPr>
          <w:sz w:val="24"/>
          <w:szCs w:val="24"/>
        </w:rPr>
        <w:t>rinevate kriiside tulemusena on</w:t>
      </w:r>
      <w:r>
        <w:rPr>
          <w:sz w:val="24"/>
          <w:szCs w:val="24"/>
        </w:rPr>
        <w:t xml:space="preserve"> eriti</w:t>
      </w:r>
      <w:r w:rsidRPr="007A19F3">
        <w:rPr>
          <w:sz w:val="24"/>
          <w:szCs w:val="24"/>
        </w:rPr>
        <w:t xml:space="preserve"> keerulisse olukorda sattunud vähem tulukamad </w:t>
      </w:r>
      <w:r>
        <w:rPr>
          <w:sz w:val="24"/>
          <w:szCs w:val="24"/>
        </w:rPr>
        <w:t>KOVid</w:t>
      </w:r>
      <w:r>
        <w:rPr>
          <w:rStyle w:val="FootnoteReference"/>
          <w:sz w:val="24"/>
          <w:szCs w:val="24"/>
        </w:rPr>
        <w:footnoteReference w:id="4"/>
      </w:r>
      <w:r w:rsidRPr="007A19F3">
        <w:rPr>
          <w:sz w:val="24"/>
          <w:szCs w:val="24"/>
        </w:rPr>
        <w:t xml:space="preserve"> (vt joonis </w:t>
      </w:r>
      <w:r>
        <w:rPr>
          <w:sz w:val="24"/>
          <w:szCs w:val="24"/>
        </w:rPr>
        <w:t>6</w:t>
      </w:r>
      <w:r w:rsidRPr="007A19F3">
        <w:rPr>
          <w:sz w:val="24"/>
          <w:szCs w:val="24"/>
        </w:rPr>
        <w:t>)</w:t>
      </w:r>
      <w:r>
        <w:rPr>
          <w:sz w:val="24"/>
          <w:szCs w:val="24"/>
        </w:rPr>
        <w:t xml:space="preserve"> ja sellise olukorra jätkumine seab ohtu teenuste kättesaadavuse. </w:t>
      </w:r>
    </w:p>
    <w:p w14:paraId="624CC639" w14:textId="77777777" w:rsidR="009321C6" w:rsidRDefault="009321C6" w:rsidP="009321C6">
      <w:pPr>
        <w:spacing w:after="0" w:line="240" w:lineRule="auto"/>
        <w:jc w:val="both"/>
        <w:rPr>
          <w:sz w:val="24"/>
          <w:szCs w:val="24"/>
        </w:rPr>
      </w:pPr>
    </w:p>
    <w:p w14:paraId="365D5C96" w14:textId="77777777" w:rsidR="009321C6" w:rsidRDefault="009321C6" w:rsidP="009321C6">
      <w:pPr>
        <w:spacing w:after="0" w:line="240" w:lineRule="auto"/>
        <w:jc w:val="both"/>
        <w:rPr>
          <w:sz w:val="24"/>
          <w:szCs w:val="24"/>
        </w:rPr>
      </w:pPr>
      <w:r>
        <w:rPr>
          <w:sz w:val="24"/>
          <w:szCs w:val="24"/>
        </w:rPr>
        <w:t>Joonis 5 KOVide teenustasemed valitud valdkondades ja tulukuse gruppides</w:t>
      </w:r>
      <w:r>
        <w:rPr>
          <w:rStyle w:val="FootnoteReference"/>
          <w:sz w:val="24"/>
          <w:szCs w:val="24"/>
        </w:rPr>
        <w:footnoteReference w:id="5"/>
      </w:r>
    </w:p>
    <w:p w14:paraId="36B5C534" w14:textId="239B88FE" w:rsidR="009321C6" w:rsidRDefault="009321C6" w:rsidP="009321C6">
      <w:pPr>
        <w:spacing w:after="0" w:line="240" w:lineRule="auto"/>
        <w:jc w:val="both"/>
        <w:rPr>
          <w:sz w:val="24"/>
          <w:szCs w:val="24"/>
        </w:rPr>
      </w:pPr>
      <w:r w:rsidRPr="006D6CEC">
        <w:rPr>
          <w:noProof/>
          <w:sz w:val="24"/>
          <w:szCs w:val="24"/>
        </w:rPr>
        <w:drawing>
          <wp:inline distT="0" distB="0" distL="0" distR="0" wp14:anchorId="70F2038C" wp14:editId="364C2E5D">
            <wp:extent cx="5732145" cy="3814445"/>
            <wp:effectExtent l="19050" t="19050" r="20955" b="1460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814445"/>
                    </a:xfrm>
                    <a:prstGeom prst="rect">
                      <a:avLst/>
                    </a:prstGeom>
                    <a:noFill/>
                    <a:ln w="3175" cmpd="sng">
                      <a:solidFill>
                        <a:srgbClr val="000000"/>
                      </a:solidFill>
                      <a:miter lim="800000"/>
                      <a:headEnd/>
                      <a:tailEnd/>
                    </a:ln>
                    <a:effectLst/>
                  </pic:spPr>
                </pic:pic>
              </a:graphicData>
            </a:graphic>
          </wp:inline>
        </w:drawing>
      </w:r>
    </w:p>
    <w:p w14:paraId="765B2624" w14:textId="77777777" w:rsidR="009321C6" w:rsidRDefault="009321C6" w:rsidP="009321C6">
      <w:pPr>
        <w:spacing w:after="0" w:line="240" w:lineRule="auto"/>
        <w:jc w:val="both"/>
        <w:rPr>
          <w:sz w:val="24"/>
          <w:szCs w:val="24"/>
        </w:rPr>
      </w:pPr>
    </w:p>
    <w:p w14:paraId="21D33382" w14:textId="77777777" w:rsidR="009321C6" w:rsidRDefault="009321C6" w:rsidP="009321C6">
      <w:pPr>
        <w:spacing w:after="0" w:line="240" w:lineRule="auto"/>
        <w:jc w:val="both"/>
        <w:rPr>
          <w:sz w:val="24"/>
          <w:szCs w:val="24"/>
        </w:rPr>
      </w:pPr>
    </w:p>
    <w:p w14:paraId="3E6BC297" w14:textId="77777777" w:rsidR="009321C6" w:rsidRDefault="009321C6" w:rsidP="009321C6">
      <w:pPr>
        <w:spacing w:after="0" w:line="240" w:lineRule="auto"/>
        <w:jc w:val="both"/>
        <w:rPr>
          <w:sz w:val="24"/>
          <w:szCs w:val="24"/>
        </w:rPr>
      </w:pPr>
    </w:p>
    <w:p w14:paraId="4714F5D1" w14:textId="77777777" w:rsidR="009321C6" w:rsidRDefault="009321C6" w:rsidP="009321C6">
      <w:pPr>
        <w:spacing w:after="0" w:line="240" w:lineRule="auto"/>
        <w:jc w:val="both"/>
        <w:rPr>
          <w:sz w:val="24"/>
          <w:szCs w:val="24"/>
        </w:rPr>
      </w:pPr>
    </w:p>
    <w:p w14:paraId="0A274066" w14:textId="77777777" w:rsidR="009321C6" w:rsidRDefault="009321C6" w:rsidP="009321C6">
      <w:pPr>
        <w:spacing w:after="0" w:line="240" w:lineRule="auto"/>
        <w:jc w:val="both"/>
        <w:rPr>
          <w:sz w:val="24"/>
          <w:szCs w:val="24"/>
        </w:rPr>
      </w:pPr>
    </w:p>
    <w:p w14:paraId="1EDE4AFE" w14:textId="77777777" w:rsidR="009321C6" w:rsidRDefault="009321C6" w:rsidP="009321C6">
      <w:pPr>
        <w:spacing w:after="0" w:line="240" w:lineRule="auto"/>
        <w:jc w:val="both"/>
        <w:rPr>
          <w:sz w:val="24"/>
          <w:szCs w:val="24"/>
        </w:rPr>
      </w:pPr>
    </w:p>
    <w:p w14:paraId="50EFC61E" w14:textId="77777777" w:rsidR="009321C6" w:rsidRDefault="009321C6" w:rsidP="009321C6">
      <w:pPr>
        <w:spacing w:after="0" w:line="240" w:lineRule="auto"/>
        <w:jc w:val="both"/>
        <w:rPr>
          <w:sz w:val="24"/>
          <w:szCs w:val="24"/>
        </w:rPr>
      </w:pPr>
    </w:p>
    <w:p w14:paraId="1990508E" w14:textId="77777777" w:rsidR="009321C6" w:rsidRDefault="009321C6" w:rsidP="009321C6">
      <w:pPr>
        <w:spacing w:after="0" w:line="240" w:lineRule="auto"/>
        <w:jc w:val="both"/>
        <w:rPr>
          <w:sz w:val="24"/>
          <w:szCs w:val="24"/>
        </w:rPr>
      </w:pPr>
    </w:p>
    <w:p w14:paraId="051FCAD7" w14:textId="77777777" w:rsidR="009321C6" w:rsidRDefault="009321C6" w:rsidP="009321C6">
      <w:pPr>
        <w:spacing w:after="0" w:line="240" w:lineRule="auto"/>
        <w:jc w:val="both"/>
        <w:rPr>
          <w:sz w:val="24"/>
          <w:szCs w:val="24"/>
        </w:rPr>
      </w:pPr>
      <w:r>
        <w:rPr>
          <w:sz w:val="24"/>
          <w:szCs w:val="24"/>
        </w:rPr>
        <w:lastRenderedPageBreak/>
        <w:t xml:space="preserve">Joonis nr 6 </w:t>
      </w:r>
      <w:r w:rsidRPr="00790269">
        <w:rPr>
          <w:sz w:val="24"/>
          <w:szCs w:val="24"/>
        </w:rPr>
        <w:t>Finantsolukorra indeks KOV tulukuse grupiti</w:t>
      </w:r>
      <w:r>
        <w:rPr>
          <w:rStyle w:val="FootnoteReference"/>
          <w:sz w:val="24"/>
          <w:szCs w:val="24"/>
        </w:rPr>
        <w:footnoteReference w:id="6"/>
      </w:r>
    </w:p>
    <w:p w14:paraId="2FB550CE" w14:textId="4ED19BB2" w:rsidR="009321C6" w:rsidRDefault="009321C6" w:rsidP="009321C6">
      <w:pPr>
        <w:pBdr>
          <w:top w:val="dotted" w:sz="2" w:space="1" w:color="auto"/>
        </w:pBdr>
        <w:spacing w:after="0" w:line="240" w:lineRule="auto"/>
        <w:jc w:val="both"/>
        <w:rPr>
          <w:sz w:val="24"/>
          <w:szCs w:val="24"/>
        </w:rPr>
      </w:pPr>
      <w:r>
        <w:rPr>
          <w:noProof/>
          <w:sz w:val="24"/>
          <w:szCs w:val="24"/>
        </w:rPr>
        <w:drawing>
          <wp:inline distT="0" distB="0" distL="0" distR="0" wp14:anchorId="0F7EF957" wp14:editId="432A74DA">
            <wp:extent cx="5534025" cy="3180080"/>
            <wp:effectExtent l="19050" t="19050" r="2857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3180080"/>
                    </a:xfrm>
                    <a:prstGeom prst="rect">
                      <a:avLst/>
                    </a:prstGeom>
                    <a:noFill/>
                    <a:ln w="3175">
                      <a:solidFill>
                        <a:srgbClr val="000000"/>
                      </a:solidFill>
                      <a:miter lim="800000"/>
                      <a:headEnd/>
                      <a:tailEnd/>
                    </a:ln>
                    <a:effectLst/>
                  </pic:spPr>
                </pic:pic>
              </a:graphicData>
            </a:graphic>
          </wp:inline>
        </w:drawing>
      </w:r>
    </w:p>
    <w:p w14:paraId="59E9B93D" w14:textId="77777777" w:rsidR="009321C6" w:rsidRDefault="009321C6" w:rsidP="009321C6">
      <w:pPr>
        <w:spacing w:after="0" w:line="240" w:lineRule="auto"/>
        <w:jc w:val="both"/>
        <w:rPr>
          <w:sz w:val="24"/>
          <w:szCs w:val="24"/>
        </w:rPr>
      </w:pPr>
    </w:p>
    <w:p w14:paraId="76744128" w14:textId="77777777" w:rsidR="009321C6" w:rsidRDefault="009321C6" w:rsidP="009321C6">
      <w:pPr>
        <w:spacing w:after="0" w:line="240" w:lineRule="auto"/>
        <w:jc w:val="both"/>
        <w:rPr>
          <w:sz w:val="24"/>
          <w:szCs w:val="24"/>
        </w:rPr>
      </w:pPr>
      <w:r>
        <w:rPr>
          <w:sz w:val="24"/>
          <w:szCs w:val="24"/>
        </w:rPr>
        <w:t xml:space="preserve">KOV tulubaasiga mitte midagi tehes läheb tasandusfondi mittesaajate tulukus per elanik tasandusfondi saajatega võrreldes eest ära (vt joonis 7), mis tähendaks maha jäämust teenuste ja elukeskkonna arendamisel. </w:t>
      </w:r>
      <w:r w:rsidRPr="00AC577E">
        <w:rPr>
          <w:sz w:val="24"/>
          <w:szCs w:val="24"/>
        </w:rPr>
        <w:t>Rahvusvaheliselt on 1,2 kordne erinevus aktsepteeritav.</w:t>
      </w:r>
    </w:p>
    <w:p w14:paraId="64F4A03A" w14:textId="77777777" w:rsidR="009321C6" w:rsidRDefault="009321C6" w:rsidP="009321C6">
      <w:pPr>
        <w:spacing w:after="0" w:line="240" w:lineRule="auto"/>
        <w:jc w:val="both"/>
        <w:rPr>
          <w:sz w:val="24"/>
          <w:szCs w:val="24"/>
        </w:rPr>
      </w:pPr>
    </w:p>
    <w:p w14:paraId="17B3C549" w14:textId="77777777" w:rsidR="009321C6" w:rsidRDefault="009321C6" w:rsidP="009321C6">
      <w:pPr>
        <w:spacing w:after="0" w:line="240" w:lineRule="auto"/>
        <w:jc w:val="both"/>
        <w:rPr>
          <w:sz w:val="24"/>
          <w:szCs w:val="24"/>
        </w:rPr>
      </w:pPr>
      <w:r>
        <w:rPr>
          <w:sz w:val="24"/>
          <w:szCs w:val="24"/>
        </w:rPr>
        <w:t>Joonis 7 KOVide põhitulu elaniku kohta tasandusfondi mitte saajate ja tasandusfondi saajate vahel</w:t>
      </w:r>
      <w:r>
        <w:rPr>
          <w:rStyle w:val="FootnoteReference"/>
          <w:sz w:val="24"/>
          <w:szCs w:val="24"/>
        </w:rPr>
        <w:footnoteReference w:id="7"/>
      </w:r>
    </w:p>
    <w:p w14:paraId="66A450CB" w14:textId="562C2FD7" w:rsidR="009321C6" w:rsidRDefault="009321C6" w:rsidP="009321C6">
      <w:pPr>
        <w:spacing w:after="0" w:line="240" w:lineRule="auto"/>
        <w:jc w:val="both"/>
        <w:rPr>
          <w:sz w:val="24"/>
          <w:szCs w:val="24"/>
        </w:rPr>
      </w:pPr>
      <w:r>
        <w:rPr>
          <w:noProof/>
          <w:sz w:val="24"/>
          <w:szCs w:val="24"/>
        </w:rPr>
        <w:drawing>
          <wp:inline distT="0" distB="0" distL="0" distR="0" wp14:anchorId="32A6672D" wp14:editId="35FF1DFD">
            <wp:extent cx="5548630" cy="2939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8630" cy="2939415"/>
                    </a:xfrm>
                    <a:prstGeom prst="rect">
                      <a:avLst/>
                    </a:prstGeom>
                    <a:noFill/>
                  </pic:spPr>
                </pic:pic>
              </a:graphicData>
            </a:graphic>
          </wp:inline>
        </w:drawing>
      </w:r>
    </w:p>
    <w:p w14:paraId="48BC5C54" w14:textId="77777777" w:rsidR="009321C6" w:rsidRDefault="009321C6" w:rsidP="009321C6">
      <w:pPr>
        <w:spacing w:after="0" w:line="240" w:lineRule="auto"/>
        <w:jc w:val="both"/>
        <w:rPr>
          <w:sz w:val="24"/>
          <w:szCs w:val="24"/>
        </w:rPr>
      </w:pPr>
    </w:p>
    <w:p w14:paraId="13472200" w14:textId="77777777" w:rsidR="009321C6" w:rsidRDefault="009321C6" w:rsidP="009321C6">
      <w:pPr>
        <w:spacing w:after="0" w:line="240" w:lineRule="auto"/>
        <w:jc w:val="both"/>
        <w:rPr>
          <w:sz w:val="24"/>
          <w:szCs w:val="24"/>
        </w:rPr>
      </w:pPr>
      <w:r w:rsidRPr="008B0402">
        <w:rPr>
          <w:sz w:val="24"/>
          <w:szCs w:val="24"/>
        </w:rPr>
        <w:lastRenderedPageBreak/>
        <w:t>P</w:t>
      </w:r>
      <w:r>
        <w:rPr>
          <w:sz w:val="24"/>
          <w:szCs w:val="24"/>
        </w:rPr>
        <w:t>õhiseaduse</w:t>
      </w:r>
      <w:r w:rsidRPr="008B0402">
        <w:rPr>
          <w:sz w:val="24"/>
          <w:szCs w:val="24"/>
        </w:rPr>
        <w:t xml:space="preserve"> § 28 mõtte kohaselt </w:t>
      </w:r>
      <w:r>
        <w:rPr>
          <w:sz w:val="24"/>
          <w:szCs w:val="24"/>
        </w:rPr>
        <w:t xml:space="preserve">ei ole </w:t>
      </w:r>
      <w:r w:rsidRPr="008B0402">
        <w:rPr>
          <w:sz w:val="24"/>
          <w:szCs w:val="24"/>
        </w:rPr>
        <w:t xml:space="preserve">aktsepteeritav olukord, kus esmatähtsate avalike teenuste kättesaadavus </w:t>
      </w:r>
      <w:r>
        <w:rPr>
          <w:sz w:val="24"/>
          <w:szCs w:val="24"/>
        </w:rPr>
        <w:t xml:space="preserve">sõltub </w:t>
      </w:r>
      <w:r w:rsidRPr="008B0402">
        <w:rPr>
          <w:sz w:val="24"/>
          <w:szCs w:val="24"/>
        </w:rPr>
        <w:t xml:space="preserve">ulatuslikult sellest, milline on isiku elu- või asukohajärgse </w:t>
      </w:r>
      <w:r>
        <w:rPr>
          <w:sz w:val="24"/>
          <w:szCs w:val="24"/>
        </w:rPr>
        <w:t>KOV-i</w:t>
      </w:r>
      <w:r w:rsidRPr="008B0402">
        <w:rPr>
          <w:sz w:val="24"/>
          <w:szCs w:val="24"/>
        </w:rPr>
        <w:t xml:space="preserve"> majanduslik suutlikkus.</w:t>
      </w:r>
      <w:r>
        <w:rPr>
          <w:sz w:val="24"/>
          <w:szCs w:val="24"/>
        </w:rPr>
        <w:t xml:space="preserve"> Seega on riigi kohustus KOV-ide rahastamise süsteemi kujundamisel </w:t>
      </w:r>
      <w:r w:rsidRPr="002B0976">
        <w:rPr>
          <w:color w:val="1B1C20"/>
          <w:sz w:val="24"/>
          <w:szCs w:val="24"/>
          <w:shd w:val="clear" w:color="auto" w:fill="FFFFFF"/>
        </w:rPr>
        <w:t>arvesta</w:t>
      </w:r>
      <w:r>
        <w:rPr>
          <w:color w:val="1B1C20"/>
          <w:sz w:val="24"/>
          <w:szCs w:val="24"/>
          <w:shd w:val="clear" w:color="auto" w:fill="FFFFFF"/>
        </w:rPr>
        <w:t>d</w:t>
      </w:r>
      <w:r w:rsidRPr="002B0976">
        <w:rPr>
          <w:color w:val="1B1C20"/>
          <w:sz w:val="24"/>
          <w:szCs w:val="24"/>
          <w:shd w:val="clear" w:color="auto" w:fill="FFFFFF"/>
        </w:rPr>
        <w:t>a erinevustega KOV-de sotsiaalses, demograafilises ja majanduslikus olukorras</w:t>
      </w:r>
      <w:r>
        <w:rPr>
          <w:rStyle w:val="FootnoteReference"/>
          <w:sz w:val="24"/>
          <w:szCs w:val="24"/>
        </w:rPr>
        <w:footnoteReference w:id="8"/>
      </w:r>
      <w:r w:rsidRPr="002B0976">
        <w:rPr>
          <w:color w:val="1B1C20"/>
          <w:sz w:val="24"/>
          <w:szCs w:val="24"/>
          <w:shd w:val="clear" w:color="auto" w:fill="FFFFFF"/>
        </w:rPr>
        <w:t>.</w:t>
      </w:r>
    </w:p>
    <w:p w14:paraId="2AF01F29" w14:textId="77777777" w:rsidR="009321C6" w:rsidRDefault="009321C6" w:rsidP="009321C6">
      <w:pPr>
        <w:spacing w:after="0" w:line="240" w:lineRule="auto"/>
        <w:jc w:val="both"/>
        <w:rPr>
          <w:sz w:val="24"/>
          <w:szCs w:val="24"/>
        </w:rPr>
      </w:pPr>
    </w:p>
    <w:p w14:paraId="58E83478" w14:textId="77777777" w:rsidR="009321C6" w:rsidRDefault="009321C6" w:rsidP="009321C6">
      <w:pPr>
        <w:spacing w:after="0" w:line="240" w:lineRule="auto"/>
        <w:jc w:val="both"/>
        <w:rPr>
          <w:sz w:val="24"/>
          <w:szCs w:val="24"/>
        </w:rPr>
      </w:pPr>
      <w:r>
        <w:rPr>
          <w:sz w:val="24"/>
          <w:szCs w:val="24"/>
        </w:rPr>
        <w:t>Tulenevalt majandusprognoosist ei ole riigieelarve kehva seisu tõttu võimalik nõrgema tulubaasiga KOV-ide jaoks tasandusfondi mahtu suurendada riigieelarve üldiste tulude arvelt. Seetõttu on vähem tulukate KOVide finantsseisu parandamiseks vajalik rakendada teistsuguseid lahendusi ehk teostada ümberjaotus KOVide vahel.</w:t>
      </w:r>
    </w:p>
    <w:p w14:paraId="5F31D1DC" w14:textId="77777777" w:rsidR="009321C6" w:rsidRDefault="009321C6" w:rsidP="009321C6">
      <w:pPr>
        <w:spacing w:after="0" w:line="240" w:lineRule="auto"/>
        <w:jc w:val="both"/>
        <w:rPr>
          <w:sz w:val="24"/>
          <w:szCs w:val="24"/>
        </w:rPr>
      </w:pPr>
    </w:p>
    <w:p w14:paraId="154CBED7" w14:textId="77777777" w:rsidR="009321C6" w:rsidRDefault="009321C6" w:rsidP="009321C6">
      <w:pPr>
        <w:spacing w:after="0" w:line="240" w:lineRule="auto"/>
        <w:jc w:val="both"/>
        <w:rPr>
          <w:sz w:val="24"/>
          <w:szCs w:val="24"/>
        </w:rPr>
      </w:pPr>
      <w:r>
        <w:rPr>
          <w:sz w:val="24"/>
          <w:szCs w:val="24"/>
        </w:rPr>
        <w:t xml:space="preserve">KOVide tulubaasi ümberkorraldamise esimene etapp jõustus 2024. a. Selle kohaselt suurendati </w:t>
      </w:r>
      <w:r w:rsidRPr="00197B0C">
        <w:rPr>
          <w:sz w:val="24"/>
          <w:szCs w:val="24"/>
        </w:rPr>
        <w:t xml:space="preserve">residendist füüsilise isiku </w:t>
      </w:r>
      <w:r w:rsidRPr="006D52FA">
        <w:rPr>
          <w:sz w:val="24"/>
          <w:szCs w:val="24"/>
        </w:rPr>
        <w:t>riikliku</w:t>
      </w:r>
      <w:r>
        <w:rPr>
          <w:sz w:val="24"/>
          <w:szCs w:val="24"/>
        </w:rPr>
        <w:t>l</w:t>
      </w:r>
      <w:r w:rsidRPr="006D52FA">
        <w:rPr>
          <w:sz w:val="24"/>
          <w:szCs w:val="24"/>
        </w:rPr>
        <w:t>t pensioni</w:t>
      </w:r>
      <w:r>
        <w:rPr>
          <w:sz w:val="24"/>
          <w:szCs w:val="24"/>
        </w:rPr>
        <w:t xml:space="preserve">lt eraldatavat </w:t>
      </w:r>
      <w:r w:rsidRPr="004275F5">
        <w:rPr>
          <w:sz w:val="24"/>
          <w:szCs w:val="24"/>
        </w:rPr>
        <w:t xml:space="preserve">tulumaksu </w:t>
      </w:r>
      <w:r>
        <w:rPr>
          <w:sz w:val="24"/>
          <w:szCs w:val="24"/>
        </w:rPr>
        <w:t>2,5</w:t>
      </w:r>
      <w:r w:rsidRPr="004275F5">
        <w:rPr>
          <w:sz w:val="24"/>
          <w:szCs w:val="24"/>
        </w:rPr>
        <w:t>%-</w:t>
      </w:r>
      <w:r>
        <w:rPr>
          <w:sz w:val="24"/>
          <w:szCs w:val="24"/>
        </w:rPr>
        <w:t>n</w:t>
      </w:r>
      <w:r w:rsidRPr="004275F5">
        <w:rPr>
          <w:sz w:val="24"/>
          <w:szCs w:val="24"/>
        </w:rPr>
        <w:t>i</w:t>
      </w:r>
      <w:r>
        <w:rPr>
          <w:sz w:val="24"/>
          <w:szCs w:val="24"/>
        </w:rPr>
        <w:t xml:space="preserve"> ja</w:t>
      </w:r>
      <w:r w:rsidRPr="004275F5">
        <w:rPr>
          <w:sz w:val="24"/>
          <w:szCs w:val="24"/>
        </w:rPr>
        <w:t xml:space="preserve"> vähenda</w:t>
      </w:r>
      <w:r>
        <w:rPr>
          <w:sz w:val="24"/>
          <w:szCs w:val="24"/>
        </w:rPr>
        <w:t>ti</w:t>
      </w:r>
      <w:r w:rsidRPr="004275F5">
        <w:rPr>
          <w:sz w:val="24"/>
          <w:szCs w:val="24"/>
        </w:rPr>
        <w:t xml:space="preserve"> samal ajal muust maksustatavast tulust, välja arvatud kohustuslik ja täiendav kogumispension</w:t>
      </w:r>
      <w:r>
        <w:rPr>
          <w:sz w:val="24"/>
          <w:szCs w:val="24"/>
        </w:rPr>
        <w:t xml:space="preserve"> ning</w:t>
      </w:r>
      <w:r w:rsidRPr="004275F5">
        <w:rPr>
          <w:sz w:val="24"/>
          <w:szCs w:val="24"/>
        </w:rPr>
        <w:t xml:space="preserve"> vara võõrandamisest saadud kasu</w:t>
      </w:r>
      <w:r>
        <w:rPr>
          <w:sz w:val="24"/>
          <w:szCs w:val="24"/>
        </w:rPr>
        <w:t>lt,</w:t>
      </w:r>
      <w:r w:rsidRPr="004275F5">
        <w:rPr>
          <w:sz w:val="24"/>
          <w:szCs w:val="24"/>
        </w:rPr>
        <w:t xml:space="preserve"> eraldatavat tulumaksu 11,8</w:t>
      </w:r>
      <w:r>
        <w:rPr>
          <w:sz w:val="24"/>
          <w:szCs w:val="24"/>
        </w:rPr>
        <w:t>9</w:t>
      </w:r>
      <w:r w:rsidRPr="004275F5">
        <w:rPr>
          <w:sz w:val="24"/>
          <w:szCs w:val="24"/>
        </w:rPr>
        <w:t>%-</w:t>
      </w:r>
      <w:r>
        <w:rPr>
          <w:sz w:val="24"/>
          <w:szCs w:val="24"/>
        </w:rPr>
        <w:t>n</w:t>
      </w:r>
      <w:r w:rsidRPr="004275F5">
        <w:rPr>
          <w:sz w:val="24"/>
          <w:szCs w:val="24"/>
        </w:rPr>
        <w:t>i.</w:t>
      </w:r>
      <w:r>
        <w:rPr>
          <w:sz w:val="24"/>
          <w:szCs w:val="24"/>
        </w:rPr>
        <w:t xml:space="preserve"> Sellest muudatusest vabanenud raha 8,3 mln eurot suunati tasandusfondi. Tulubaasi ümberjaotuse mõjud on toodud joonisel nr 8.</w:t>
      </w:r>
    </w:p>
    <w:p w14:paraId="3C41F062" w14:textId="77777777" w:rsidR="009321C6" w:rsidRDefault="009321C6" w:rsidP="009321C6">
      <w:pPr>
        <w:spacing w:after="0" w:line="240" w:lineRule="auto"/>
        <w:jc w:val="both"/>
        <w:rPr>
          <w:sz w:val="24"/>
          <w:szCs w:val="24"/>
        </w:rPr>
      </w:pPr>
    </w:p>
    <w:p w14:paraId="48AFB4DF" w14:textId="77777777" w:rsidR="009321C6" w:rsidRDefault="009321C6" w:rsidP="009321C6">
      <w:pPr>
        <w:spacing w:after="0" w:line="240" w:lineRule="auto"/>
        <w:jc w:val="both"/>
        <w:rPr>
          <w:sz w:val="24"/>
          <w:szCs w:val="24"/>
        </w:rPr>
      </w:pPr>
      <w:r w:rsidRPr="00790269">
        <w:rPr>
          <w:sz w:val="24"/>
          <w:szCs w:val="24"/>
        </w:rPr>
        <w:t xml:space="preserve">Joonis </w:t>
      </w:r>
      <w:r>
        <w:rPr>
          <w:sz w:val="24"/>
          <w:szCs w:val="24"/>
        </w:rPr>
        <w:t>8</w:t>
      </w:r>
      <w:r w:rsidRPr="00790269">
        <w:rPr>
          <w:sz w:val="24"/>
          <w:szCs w:val="24"/>
        </w:rPr>
        <w:t>. Tasandusfondi arvestuslikud tulud</w:t>
      </w:r>
      <w:r>
        <w:rPr>
          <w:rStyle w:val="FootnoteReference"/>
          <w:sz w:val="24"/>
          <w:szCs w:val="24"/>
        </w:rPr>
        <w:footnoteReference w:id="9"/>
      </w:r>
      <w:r w:rsidRPr="00790269">
        <w:rPr>
          <w:sz w:val="24"/>
          <w:szCs w:val="24"/>
        </w:rPr>
        <w:t xml:space="preserve"> ja tasandusfond võrreldes kuluvajadusega</w:t>
      </w:r>
      <w:r>
        <w:rPr>
          <w:rStyle w:val="FootnoteReference"/>
          <w:sz w:val="24"/>
          <w:szCs w:val="24"/>
        </w:rPr>
        <w:footnoteReference w:id="10"/>
      </w:r>
      <w:r w:rsidRPr="00790269">
        <w:rPr>
          <w:sz w:val="24"/>
          <w:szCs w:val="24"/>
        </w:rPr>
        <w:t xml:space="preserve"> 2024. aastal enne ja pärast </w:t>
      </w:r>
      <w:r>
        <w:rPr>
          <w:sz w:val="24"/>
          <w:szCs w:val="24"/>
        </w:rPr>
        <w:t>tulubaasi ümberkorraldust KOV-de lõikes</w:t>
      </w:r>
      <w:r w:rsidRPr="00790269">
        <w:rPr>
          <w:sz w:val="24"/>
          <w:szCs w:val="24"/>
        </w:rPr>
        <w:t>.</w:t>
      </w:r>
    </w:p>
    <w:p w14:paraId="6D3D5843" w14:textId="65A4A29C" w:rsidR="009321C6" w:rsidRDefault="009321C6" w:rsidP="009321C6">
      <w:pPr>
        <w:spacing w:after="0" w:line="240" w:lineRule="auto"/>
        <w:jc w:val="both"/>
        <w:rPr>
          <w:sz w:val="24"/>
          <w:szCs w:val="24"/>
        </w:rPr>
      </w:pPr>
      <w:r w:rsidRPr="00F85DBD">
        <w:rPr>
          <w:noProof/>
          <w:sz w:val="24"/>
          <w:szCs w:val="24"/>
          <w:lang w:eastAsia="et-EE"/>
        </w:rPr>
        <w:drawing>
          <wp:inline distT="0" distB="0" distL="0" distR="0" wp14:anchorId="741DEB63" wp14:editId="680A13C0">
            <wp:extent cx="5745480" cy="3514090"/>
            <wp:effectExtent l="19050" t="19050" r="26670" b="10160"/>
            <wp:docPr id="2" name="Picture 2" descr="Pilt, millel on kujutatud tabe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Pilt, millel on kujutatud tabel&#10;&#10;Kirjeldus on genereeritud automaatse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3514090"/>
                    </a:xfrm>
                    <a:prstGeom prst="rect">
                      <a:avLst/>
                    </a:prstGeom>
                    <a:noFill/>
                    <a:ln w="6350" cmpd="sng">
                      <a:solidFill>
                        <a:srgbClr val="000000"/>
                      </a:solidFill>
                      <a:miter lim="800000"/>
                      <a:headEnd/>
                      <a:tailEnd/>
                    </a:ln>
                    <a:effectLst/>
                  </pic:spPr>
                </pic:pic>
              </a:graphicData>
            </a:graphic>
          </wp:inline>
        </w:drawing>
      </w:r>
    </w:p>
    <w:p w14:paraId="65700670" w14:textId="77777777" w:rsidR="009321C6" w:rsidRDefault="009321C6" w:rsidP="009321C6">
      <w:pPr>
        <w:spacing w:after="0" w:line="240" w:lineRule="auto"/>
        <w:jc w:val="both"/>
        <w:rPr>
          <w:sz w:val="24"/>
          <w:szCs w:val="24"/>
        </w:rPr>
      </w:pPr>
    </w:p>
    <w:p w14:paraId="7C3E22FB" w14:textId="77777777" w:rsidR="00EB2B54" w:rsidRDefault="00EB2B54" w:rsidP="009321C6">
      <w:pPr>
        <w:spacing w:after="0" w:line="240" w:lineRule="auto"/>
        <w:jc w:val="both"/>
        <w:rPr>
          <w:sz w:val="24"/>
          <w:szCs w:val="24"/>
        </w:rPr>
      </w:pPr>
    </w:p>
    <w:p w14:paraId="4698E634" w14:textId="77777777" w:rsidR="00EB2B54" w:rsidRDefault="00EB2B54" w:rsidP="009321C6">
      <w:pPr>
        <w:spacing w:after="0" w:line="240" w:lineRule="auto"/>
        <w:jc w:val="both"/>
        <w:rPr>
          <w:sz w:val="24"/>
          <w:szCs w:val="24"/>
        </w:rPr>
      </w:pPr>
    </w:p>
    <w:p w14:paraId="692920A4" w14:textId="77777777" w:rsidR="00EB2B54" w:rsidRDefault="00EB2B54" w:rsidP="009321C6">
      <w:pPr>
        <w:spacing w:after="0" w:line="240" w:lineRule="auto"/>
        <w:jc w:val="both"/>
        <w:rPr>
          <w:sz w:val="24"/>
          <w:szCs w:val="24"/>
        </w:rPr>
      </w:pPr>
    </w:p>
    <w:p w14:paraId="15B3D985" w14:textId="69D62B16" w:rsidR="009321C6" w:rsidRPr="00380895" w:rsidRDefault="009321C6" w:rsidP="009321C6">
      <w:pPr>
        <w:spacing w:after="0" w:line="240" w:lineRule="auto"/>
        <w:jc w:val="both"/>
        <w:rPr>
          <w:sz w:val="24"/>
          <w:szCs w:val="24"/>
        </w:rPr>
      </w:pPr>
      <w:r w:rsidRPr="00380895">
        <w:rPr>
          <w:sz w:val="24"/>
          <w:szCs w:val="24"/>
        </w:rPr>
        <w:lastRenderedPageBreak/>
        <w:t>Lahendamist vajavad probleemid:</w:t>
      </w:r>
    </w:p>
    <w:p w14:paraId="2FAC8D32" w14:textId="77777777" w:rsidR="009321C6" w:rsidRDefault="009321C6" w:rsidP="009321C6">
      <w:pPr>
        <w:numPr>
          <w:ilvl w:val="0"/>
          <w:numId w:val="3"/>
        </w:numPr>
        <w:spacing w:after="0" w:line="240" w:lineRule="auto"/>
        <w:rPr>
          <w:sz w:val="24"/>
          <w:szCs w:val="24"/>
        </w:rPr>
      </w:pPr>
      <w:r>
        <w:rPr>
          <w:sz w:val="24"/>
          <w:szCs w:val="24"/>
        </w:rPr>
        <w:t>väljaspool Harjumaad ja Tartu ümbrust elanike arv jätkuvalt väheneb ja inimesed kolivad elama suurlinnade lähiümbrusse, vähendades kahaneva elanike arvuga piirkondade KOVide tulubaasi;</w:t>
      </w:r>
    </w:p>
    <w:p w14:paraId="09B194C1" w14:textId="77777777" w:rsidR="009321C6" w:rsidRPr="0039119F" w:rsidRDefault="009321C6" w:rsidP="009321C6">
      <w:pPr>
        <w:numPr>
          <w:ilvl w:val="0"/>
          <w:numId w:val="3"/>
        </w:numPr>
        <w:spacing w:after="0" w:line="240" w:lineRule="auto"/>
        <w:rPr>
          <w:sz w:val="24"/>
          <w:szCs w:val="24"/>
        </w:rPr>
      </w:pPr>
      <w:r>
        <w:rPr>
          <w:sz w:val="24"/>
          <w:szCs w:val="24"/>
        </w:rPr>
        <w:t>kahaneva elanike arvuga piirkondade KOVides on suur surve teenuste võrku optimeerida, aga selle raames ei tohi teenuste kättesaadavust oluliselt halvendada;</w:t>
      </w:r>
    </w:p>
    <w:p w14:paraId="7CA45E91" w14:textId="77777777" w:rsidR="009321C6" w:rsidRDefault="009321C6" w:rsidP="009321C6">
      <w:pPr>
        <w:numPr>
          <w:ilvl w:val="0"/>
          <w:numId w:val="3"/>
        </w:numPr>
        <w:spacing w:after="0" w:line="240" w:lineRule="auto"/>
        <w:rPr>
          <w:sz w:val="24"/>
          <w:szCs w:val="24"/>
        </w:rPr>
      </w:pPr>
      <w:r w:rsidRPr="00380895">
        <w:rPr>
          <w:sz w:val="24"/>
          <w:szCs w:val="24"/>
        </w:rPr>
        <w:t xml:space="preserve">regionaalsed erinevused on endiselt suured </w:t>
      </w:r>
      <w:r>
        <w:rPr>
          <w:sz w:val="24"/>
          <w:szCs w:val="24"/>
        </w:rPr>
        <w:t>ja see väljendub tasandusfondi mittesaajate ja tasandusfondi saajate tulukus per elanik erinevuse kasvus;</w:t>
      </w:r>
    </w:p>
    <w:p w14:paraId="48CCD231" w14:textId="77777777" w:rsidR="009321C6" w:rsidRDefault="009321C6" w:rsidP="009321C6">
      <w:pPr>
        <w:numPr>
          <w:ilvl w:val="0"/>
          <w:numId w:val="3"/>
        </w:numPr>
        <w:spacing w:after="0" w:line="240" w:lineRule="auto"/>
        <w:rPr>
          <w:sz w:val="24"/>
          <w:szCs w:val="24"/>
        </w:rPr>
      </w:pPr>
      <w:r>
        <w:rPr>
          <w:sz w:val="24"/>
          <w:szCs w:val="24"/>
        </w:rPr>
        <w:t>võrreldes tulukamate KOVidega on vähem tulukate KOVide finantsolukord keerulisem ja teenused on kehvemal tasemel;</w:t>
      </w:r>
    </w:p>
    <w:p w14:paraId="74A882D4" w14:textId="77777777" w:rsidR="009321C6" w:rsidRDefault="009321C6" w:rsidP="009321C6">
      <w:pPr>
        <w:numPr>
          <w:ilvl w:val="0"/>
          <w:numId w:val="3"/>
        </w:numPr>
        <w:spacing w:after="0" w:line="240" w:lineRule="auto"/>
        <w:rPr>
          <w:sz w:val="24"/>
          <w:szCs w:val="24"/>
        </w:rPr>
      </w:pPr>
      <w:r>
        <w:rPr>
          <w:sz w:val="24"/>
          <w:szCs w:val="24"/>
        </w:rPr>
        <w:t>mitte midagi tehes jääb eeldatavasti vähem tulukate KOVide teenuste ja elukeskkonna areng tulukatest veelgi rohkem maha, mis võib hoogustada väljarännet ja suurendada regionaalseid erinevusi veelgi;</w:t>
      </w:r>
    </w:p>
    <w:p w14:paraId="7FB007D5" w14:textId="77777777" w:rsidR="009321C6" w:rsidRDefault="009321C6" w:rsidP="009321C6">
      <w:pPr>
        <w:numPr>
          <w:ilvl w:val="0"/>
          <w:numId w:val="3"/>
        </w:numPr>
        <w:spacing w:after="0" w:line="240" w:lineRule="auto"/>
        <w:rPr>
          <w:sz w:val="24"/>
          <w:szCs w:val="24"/>
        </w:rPr>
      </w:pPr>
      <w:r>
        <w:rPr>
          <w:sz w:val="24"/>
          <w:szCs w:val="24"/>
        </w:rPr>
        <w:t>KOVide maksuautonoomia on OECD riikide seas üks väiksemaid, mis piirab initsiatiivi parandada elukeskkonda, pannes KOVid sõltuvusse riigieelarve võimalustest;</w:t>
      </w:r>
    </w:p>
    <w:p w14:paraId="1F296A4C" w14:textId="77777777" w:rsidR="009321C6" w:rsidRDefault="009321C6" w:rsidP="009321C6">
      <w:pPr>
        <w:numPr>
          <w:ilvl w:val="0"/>
          <w:numId w:val="3"/>
        </w:numPr>
        <w:spacing w:after="0" w:line="240" w:lineRule="auto"/>
        <w:rPr>
          <w:sz w:val="24"/>
          <w:szCs w:val="24"/>
        </w:rPr>
      </w:pPr>
      <w:r>
        <w:rPr>
          <w:sz w:val="24"/>
          <w:szCs w:val="24"/>
        </w:rPr>
        <w:t>kasvava elanike arvuga KOVides on surve lühikesel ajaperioodil luua uusi lastaia- ja koolikohti, mida ei ole võimalik rahastada tulubaasi arvelt;</w:t>
      </w:r>
    </w:p>
    <w:p w14:paraId="12DF9917" w14:textId="77777777" w:rsidR="009321C6" w:rsidRDefault="009321C6" w:rsidP="009321C6">
      <w:pPr>
        <w:numPr>
          <w:ilvl w:val="0"/>
          <w:numId w:val="3"/>
        </w:numPr>
        <w:spacing w:after="0" w:line="240" w:lineRule="auto"/>
        <w:rPr>
          <w:sz w:val="24"/>
          <w:szCs w:val="24"/>
        </w:rPr>
      </w:pPr>
      <w:r>
        <w:rPr>
          <w:sz w:val="24"/>
          <w:szCs w:val="24"/>
        </w:rPr>
        <w:t>KOVidel ei ole piisavat motivatsiooni tegeleda ettevõtluskeskkonna arendamisega, sest loodud töökohad ei too tulu juurde, kui töötajad tulevad mujalt;</w:t>
      </w:r>
    </w:p>
    <w:p w14:paraId="2700B2AA" w14:textId="77777777" w:rsidR="009321C6" w:rsidRDefault="009321C6" w:rsidP="009321C6">
      <w:pPr>
        <w:numPr>
          <w:ilvl w:val="0"/>
          <w:numId w:val="3"/>
        </w:numPr>
        <w:spacing w:after="0" w:line="240" w:lineRule="auto"/>
        <w:rPr>
          <w:sz w:val="24"/>
          <w:szCs w:val="24"/>
        </w:rPr>
      </w:pPr>
      <w:r>
        <w:rPr>
          <w:sz w:val="24"/>
          <w:szCs w:val="24"/>
        </w:rPr>
        <w:t xml:space="preserve">keskus KOVides tarbivad avalikku taristut mujalt inimesed nt töö- või õpilasrände tõttu, aga need isikud ei panusta maksurahaga investeeringuid teinud KOVi tulubaasi. </w:t>
      </w:r>
    </w:p>
    <w:p w14:paraId="700CA148" w14:textId="77777777" w:rsidR="009321C6" w:rsidRDefault="009321C6" w:rsidP="004462F8">
      <w:pPr>
        <w:tabs>
          <w:tab w:val="left" w:pos="2552"/>
        </w:tabs>
        <w:spacing w:after="0" w:line="240" w:lineRule="auto"/>
        <w:rPr>
          <w:b/>
          <w:bCs/>
          <w:sz w:val="24"/>
          <w:szCs w:val="24"/>
        </w:rPr>
      </w:pPr>
    </w:p>
    <w:p w14:paraId="446326A3" w14:textId="2411BF3C" w:rsidR="000B41E5" w:rsidRDefault="000B41E5" w:rsidP="005E2EBB">
      <w:pPr>
        <w:pStyle w:val="ListParagraph"/>
        <w:numPr>
          <w:ilvl w:val="0"/>
          <w:numId w:val="12"/>
        </w:numPr>
        <w:rPr>
          <w:rFonts w:cstheme="minorHAnsi"/>
          <w:b/>
          <w:bCs/>
          <w:sz w:val="24"/>
          <w:szCs w:val="24"/>
        </w:rPr>
      </w:pPr>
      <w:r>
        <w:rPr>
          <w:rFonts w:cstheme="minorHAnsi"/>
          <w:b/>
          <w:bCs/>
          <w:sz w:val="24"/>
          <w:szCs w:val="24"/>
        </w:rPr>
        <w:t>Tulumaksu ümberkorraldus</w:t>
      </w:r>
    </w:p>
    <w:p w14:paraId="1D2F5FBA" w14:textId="77777777" w:rsidR="000B41E5" w:rsidRDefault="000B41E5" w:rsidP="000B41E5">
      <w:pPr>
        <w:spacing w:after="0" w:line="240" w:lineRule="auto"/>
        <w:jc w:val="both"/>
        <w:rPr>
          <w:sz w:val="24"/>
          <w:szCs w:val="24"/>
        </w:rPr>
      </w:pPr>
    </w:p>
    <w:p w14:paraId="3D7833CB" w14:textId="77777777" w:rsidR="000B41E5" w:rsidRDefault="000B41E5" w:rsidP="000B41E5">
      <w:pPr>
        <w:spacing w:after="0" w:line="240" w:lineRule="auto"/>
        <w:jc w:val="both"/>
        <w:rPr>
          <w:sz w:val="24"/>
          <w:szCs w:val="24"/>
        </w:rPr>
      </w:pPr>
      <w:r>
        <w:rPr>
          <w:sz w:val="24"/>
          <w:szCs w:val="24"/>
        </w:rPr>
        <w:t>Valitsuskoalitsioon on otsustanud jätkata KOVide tulubaasi ümberkorraldusega, eesmärgiga suurendada vähem tulukate KOVide eelarve laekumisi, vähendades sellega regionaalse mahajäämuse ja valglinnastumise negatiivset mõju. Oluliseks eesmärgiks on KOVide maksuautonoomia suurendamine.</w:t>
      </w:r>
    </w:p>
    <w:p w14:paraId="4767C8B0" w14:textId="77777777" w:rsidR="000B41E5" w:rsidRDefault="000B41E5" w:rsidP="000B41E5">
      <w:pPr>
        <w:spacing w:after="0" w:line="240" w:lineRule="auto"/>
        <w:jc w:val="both"/>
        <w:rPr>
          <w:sz w:val="24"/>
          <w:szCs w:val="24"/>
        </w:rPr>
      </w:pPr>
    </w:p>
    <w:p w14:paraId="738AEEE3" w14:textId="77777777" w:rsidR="000B41E5" w:rsidRDefault="000B41E5" w:rsidP="000B41E5">
      <w:pPr>
        <w:spacing w:after="0" w:line="240" w:lineRule="auto"/>
        <w:jc w:val="both"/>
        <w:rPr>
          <w:sz w:val="24"/>
          <w:szCs w:val="24"/>
        </w:rPr>
      </w:pPr>
      <w:r>
        <w:rPr>
          <w:sz w:val="24"/>
          <w:szCs w:val="24"/>
        </w:rPr>
        <w:t xml:space="preserve">Põhiseaduse § 154 kohaselt </w:t>
      </w:r>
      <w:r w:rsidRPr="00DD3642">
        <w:rPr>
          <w:sz w:val="24"/>
          <w:szCs w:val="24"/>
        </w:rPr>
        <w:t xml:space="preserve">kõiki kohaliku elu küsimusi otsustavad ja korraldavad </w:t>
      </w:r>
      <w:r>
        <w:rPr>
          <w:sz w:val="24"/>
          <w:szCs w:val="24"/>
        </w:rPr>
        <w:t>KOVid</w:t>
      </w:r>
      <w:r w:rsidRPr="00DD3642">
        <w:rPr>
          <w:sz w:val="24"/>
          <w:szCs w:val="24"/>
        </w:rPr>
        <w:t>, kes tegutsevad seaduste alusel iseseisvalt.</w:t>
      </w:r>
      <w:r>
        <w:rPr>
          <w:sz w:val="24"/>
          <w:szCs w:val="24"/>
        </w:rPr>
        <w:t xml:space="preserve"> Riigil ei ole lubatud sekkuda KOVide otsuste otstarbekusse. Seega põhiseadusega ei oleks kooskõlas rahastamissüsteem, kus riigi arvates ebaefektiivse lahenduse puhul võib sellise KOVi tulubaasi vähendada otsustuskorras. KOVide rahastamissüsteem peab olema kuluneutraalne, mis kujundatakse objektiivsete näitajate alusel, mis arvestavad KOVide asukoha ja sotsiaalmajandusliku olukorra erisusi. </w:t>
      </w:r>
    </w:p>
    <w:p w14:paraId="33FB6A55" w14:textId="77777777" w:rsidR="000B41E5" w:rsidRDefault="000B41E5" w:rsidP="000B41E5">
      <w:pPr>
        <w:spacing w:after="0" w:line="240" w:lineRule="auto"/>
        <w:jc w:val="both"/>
        <w:rPr>
          <w:sz w:val="24"/>
          <w:szCs w:val="24"/>
        </w:rPr>
      </w:pPr>
    </w:p>
    <w:p w14:paraId="4F2B200F" w14:textId="77777777" w:rsidR="000B41E5" w:rsidRDefault="000B41E5" w:rsidP="000B41E5">
      <w:pPr>
        <w:spacing w:after="0" w:line="240" w:lineRule="auto"/>
        <w:jc w:val="both"/>
        <w:rPr>
          <w:sz w:val="24"/>
          <w:szCs w:val="24"/>
        </w:rPr>
      </w:pPr>
      <w:r>
        <w:rPr>
          <w:sz w:val="24"/>
          <w:szCs w:val="24"/>
        </w:rPr>
        <w:t>Tulumaks on kõige suurema tähtsusega KOVide ülesannete täitmise finantseerimise allikas, moodustades üle 50%</w:t>
      </w:r>
      <w:r>
        <w:rPr>
          <w:rStyle w:val="FootnoteReference"/>
          <w:sz w:val="24"/>
          <w:szCs w:val="24"/>
        </w:rPr>
        <w:footnoteReference w:id="11"/>
      </w:r>
      <w:r>
        <w:rPr>
          <w:sz w:val="24"/>
          <w:szCs w:val="24"/>
        </w:rPr>
        <w:t xml:space="preserve"> sissetulekutest. Seetõttu on suurema regionaalse võrdsuse saavutamiseks tulumaksu ümberkorraldus suurima võimaliku mõjuga. </w:t>
      </w:r>
    </w:p>
    <w:p w14:paraId="4479CFD7" w14:textId="77777777" w:rsidR="000B41E5" w:rsidRDefault="000B41E5" w:rsidP="000B41E5">
      <w:pPr>
        <w:spacing w:after="0" w:line="240" w:lineRule="auto"/>
        <w:jc w:val="both"/>
        <w:rPr>
          <w:sz w:val="24"/>
          <w:szCs w:val="24"/>
        </w:rPr>
      </w:pPr>
    </w:p>
    <w:p w14:paraId="102756A1" w14:textId="77777777" w:rsidR="000B41E5" w:rsidRPr="004C60F2" w:rsidRDefault="000B41E5" w:rsidP="000B41E5">
      <w:pPr>
        <w:spacing w:after="0" w:line="240" w:lineRule="auto"/>
        <w:jc w:val="both"/>
        <w:rPr>
          <w:sz w:val="24"/>
          <w:szCs w:val="24"/>
        </w:rPr>
      </w:pPr>
      <w:r>
        <w:rPr>
          <w:sz w:val="24"/>
          <w:szCs w:val="24"/>
        </w:rPr>
        <w:t>2024. a võeti suund osa tulumaksust suunata KOVidele pensionitulu alusel, sest keskmise pensioni erinevus KOViti on väiksem kui palgatulul</w:t>
      </w:r>
      <w:r w:rsidRPr="004C60F2">
        <w:rPr>
          <w:rStyle w:val="FootnoteReference"/>
          <w:sz w:val="24"/>
          <w:szCs w:val="24"/>
        </w:rPr>
        <w:footnoteReference w:id="12"/>
      </w:r>
      <w:r>
        <w:rPr>
          <w:sz w:val="24"/>
          <w:szCs w:val="24"/>
        </w:rPr>
        <w:t>. Tulumaks</w:t>
      </w:r>
      <w:r w:rsidRPr="004C60F2">
        <w:rPr>
          <w:sz w:val="24"/>
          <w:szCs w:val="24"/>
        </w:rPr>
        <w:t xml:space="preserve"> pensionitulu</w:t>
      </w:r>
      <w:r>
        <w:rPr>
          <w:sz w:val="24"/>
          <w:szCs w:val="24"/>
        </w:rPr>
        <w:t>lt</w:t>
      </w:r>
      <w:r w:rsidRPr="004C60F2">
        <w:rPr>
          <w:sz w:val="24"/>
          <w:szCs w:val="24"/>
        </w:rPr>
        <w:t xml:space="preserve"> </w:t>
      </w:r>
      <w:r>
        <w:rPr>
          <w:sz w:val="24"/>
          <w:szCs w:val="24"/>
        </w:rPr>
        <w:t xml:space="preserve">liigub enam </w:t>
      </w:r>
      <w:r w:rsidRPr="004C60F2">
        <w:rPr>
          <w:sz w:val="24"/>
          <w:szCs w:val="24"/>
        </w:rPr>
        <w:t xml:space="preserve">piirkondadesse, kus on eakaid rohkem ning </w:t>
      </w:r>
      <w:r>
        <w:rPr>
          <w:sz w:val="24"/>
          <w:szCs w:val="24"/>
        </w:rPr>
        <w:t>need</w:t>
      </w:r>
      <w:r w:rsidRPr="004C60F2">
        <w:rPr>
          <w:sz w:val="24"/>
          <w:szCs w:val="24"/>
        </w:rPr>
        <w:t xml:space="preserve"> </w:t>
      </w:r>
      <w:r>
        <w:rPr>
          <w:sz w:val="24"/>
          <w:szCs w:val="24"/>
        </w:rPr>
        <w:t xml:space="preserve">KOVid </w:t>
      </w:r>
      <w:r w:rsidRPr="004C60F2">
        <w:rPr>
          <w:sz w:val="24"/>
          <w:szCs w:val="24"/>
        </w:rPr>
        <w:t>on üldjuhul vähem tulukamad.</w:t>
      </w:r>
      <w:r>
        <w:rPr>
          <w:sz w:val="24"/>
          <w:szCs w:val="24"/>
        </w:rPr>
        <w:t xml:space="preserve"> Seega jätkatakse p</w:t>
      </w:r>
      <w:r w:rsidRPr="004C60F2">
        <w:rPr>
          <w:sz w:val="24"/>
          <w:szCs w:val="24"/>
        </w:rPr>
        <w:t>ensionitulult laekuva KOV</w:t>
      </w:r>
      <w:r>
        <w:rPr>
          <w:sz w:val="24"/>
          <w:szCs w:val="24"/>
        </w:rPr>
        <w:t>-</w:t>
      </w:r>
      <w:r w:rsidRPr="004C60F2">
        <w:rPr>
          <w:sz w:val="24"/>
          <w:szCs w:val="24"/>
        </w:rPr>
        <w:t>ide tulumaksu osa suurendami</w:t>
      </w:r>
      <w:r>
        <w:rPr>
          <w:sz w:val="24"/>
          <w:szCs w:val="24"/>
        </w:rPr>
        <w:t>st</w:t>
      </w:r>
      <w:r w:rsidRPr="004C60F2">
        <w:rPr>
          <w:sz w:val="24"/>
          <w:szCs w:val="24"/>
        </w:rPr>
        <w:t xml:space="preserve"> ülejäänud tuludelt </w:t>
      </w:r>
      <w:r w:rsidRPr="004C60F2">
        <w:rPr>
          <w:sz w:val="24"/>
          <w:szCs w:val="24"/>
        </w:rPr>
        <w:lastRenderedPageBreak/>
        <w:t>laekuva</w:t>
      </w:r>
      <w:r>
        <w:rPr>
          <w:sz w:val="24"/>
          <w:szCs w:val="24"/>
        </w:rPr>
        <w:t>t</w:t>
      </w:r>
      <w:r w:rsidRPr="004C60F2">
        <w:rPr>
          <w:sz w:val="24"/>
          <w:szCs w:val="24"/>
        </w:rPr>
        <w:t xml:space="preserve"> tulumaksu osa vähendades. </w:t>
      </w:r>
      <w:r>
        <w:rPr>
          <w:sz w:val="24"/>
          <w:szCs w:val="24"/>
        </w:rPr>
        <w:t>Pensionituludelt tulumaksu osa suurendamisel on pikemaajalisem eesmärk, võimaldades kahaneva ja vananeva elanikega KOVidele tagada ajas kasvav tulubaas teenuste osutamiseks.</w:t>
      </w:r>
    </w:p>
    <w:p w14:paraId="7B4A721C" w14:textId="77777777" w:rsidR="000B41E5" w:rsidRDefault="000B41E5" w:rsidP="000B41E5">
      <w:pPr>
        <w:spacing w:after="0" w:line="240" w:lineRule="auto"/>
        <w:jc w:val="both"/>
        <w:rPr>
          <w:sz w:val="24"/>
          <w:szCs w:val="24"/>
        </w:rPr>
      </w:pPr>
    </w:p>
    <w:p w14:paraId="720896AD" w14:textId="77777777" w:rsidR="000B41E5" w:rsidRPr="00F11C29" w:rsidRDefault="000B41E5" w:rsidP="000B41E5">
      <w:pPr>
        <w:spacing w:after="0" w:line="240" w:lineRule="auto"/>
        <w:jc w:val="both"/>
        <w:rPr>
          <w:sz w:val="24"/>
          <w:szCs w:val="24"/>
        </w:rPr>
      </w:pPr>
      <w:r w:rsidRPr="00F11C29">
        <w:rPr>
          <w:sz w:val="24"/>
          <w:szCs w:val="24"/>
        </w:rPr>
        <w:t>Edaspidised tulumaksu muudatused on järgmised</w:t>
      </w:r>
    </w:p>
    <w:p w14:paraId="4E896A73" w14:textId="77777777" w:rsidR="000B41E5" w:rsidRPr="00F11C29" w:rsidRDefault="000B41E5" w:rsidP="000B41E5">
      <w:pPr>
        <w:spacing w:after="0" w:line="240" w:lineRule="auto"/>
        <w:jc w:val="both"/>
        <w:rPr>
          <w:sz w:val="24"/>
          <w:szCs w:val="24"/>
        </w:rPr>
      </w:pPr>
    </w:p>
    <w:p w14:paraId="08C5A482" w14:textId="77777777" w:rsidR="000B41E5" w:rsidRPr="00F11C29" w:rsidRDefault="000B41E5" w:rsidP="000B41E5">
      <w:pPr>
        <w:spacing w:after="0" w:line="240" w:lineRule="auto"/>
        <w:jc w:val="both"/>
        <w:rPr>
          <w:sz w:val="24"/>
          <w:szCs w:val="24"/>
        </w:rPr>
      </w:pPr>
      <w:r w:rsidRPr="00F11C29">
        <w:rPr>
          <w:sz w:val="24"/>
          <w:szCs w:val="24"/>
        </w:rPr>
        <w:t>Tabel 1. Tulubaasi kavandatavad muudatused 2025-2028</w:t>
      </w:r>
    </w:p>
    <w:tbl>
      <w:tblPr>
        <w:tblW w:w="8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99"/>
        <w:gridCol w:w="799"/>
        <w:gridCol w:w="799"/>
        <w:gridCol w:w="799"/>
        <w:gridCol w:w="799"/>
        <w:gridCol w:w="836"/>
        <w:gridCol w:w="936"/>
      </w:tblGrid>
      <w:tr w:rsidR="00EB2B54" w14:paraId="389CD6FB" w14:textId="77777777" w:rsidTr="00EB2B54">
        <w:trPr>
          <w:trHeight w:val="280"/>
        </w:trPr>
        <w:tc>
          <w:tcPr>
            <w:tcW w:w="3096" w:type="dxa"/>
            <w:shd w:val="clear" w:color="auto" w:fill="auto"/>
            <w:noWrap/>
            <w:vAlign w:val="bottom"/>
            <w:hideMark/>
          </w:tcPr>
          <w:p w14:paraId="3B78C945" w14:textId="77777777" w:rsidR="00EB2B54" w:rsidRDefault="00EB2B54" w:rsidP="00EB2B54">
            <w:pPr>
              <w:spacing w:after="0"/>
              <w:rPr>
                <w:rFonts w:ascii="Calibri" w:hAnsi="Calibri" w:cs="Calibri"/>
                <w:b/>
                <w:bCs/>
                <w:color w:val="000000"/>
              </w:rPr>
            </w:pPr>
            <w:r>
              <w:rPr>
                <w:rFonts w:ascii="Calibri" w:hAnsi="Calibri" w:cs="Calibri"/>
                <w:b/>
                <w:bCs/>
                <w:color w:val="000000"/>
              </w:rPr>
              <w:t>Määrad</w:t>
            </w:r>
          </w:p>
        </w:tc>
        <w:tc>
          <w:tcPr>
            <w:tcW w:w="799" w:type="dxa"/>
            <w:shd w:val="clear" w:color="auto" w:fill="auto"/>
            <w:noWrap/>
            <w:vAlign w:val="bottom"/>
            <w:hideMark/>
          </w:tcPr>
          <w:p w14:paraId="23CE4112" w14:textId="77777777" w:rsidR="00EB2B54" w:rsidRDefault="00EB2B54" w:rsidP="00EB2B54">
            <w:pPr>
              <w:spacing w:after="0"/>
              <w:jc w:val="center"/>
              <w:rPr>
                <w:rFonts w:ascii="Calibri" w:hAnsi="Calibri" w:cs="Calibri"/>
                <w:b/>
                <w:bCs/>
                <w:color w:val="000000"/>
              </w:rPr>
            </w:pPr>
            <w:r>
              <w:rPr>
                <w:rFonts w:ascii="Calibri" w:hAnsi="Calibri" w:cs="Calibri"/>
                <w:b/>
                <w:bCs/>
                <w:color w:val="000000"/>
              </w:rPr>
              <w:t>2023</w:t>
            </w:r>
          </w:p>
        </w:tc>
        <w:tc>
          <w:tcPr>
            <w:tcW w:w="799" w:type="dxa"/>
            <w:shd w:val="clear" w:color="auto" w:fill="auto"/>
            <w:noWrap/>
            <w:vAlign w:val="bottom"/>
            <w:hideMark/>
          </w:tcPr>
          <w:p w14:paraId="3AA323AF" w14:textId="77777777" w:rsidR="00EB2B54" w:rsidRDefault="00EB2B54" w:rsidP="00EB2B54">
            <w:pPr>
              <w:spacing w:after="0"/>
              <w:jc w:val="center"/>
              <w:rPr>
                <w:rFonts w:ascii="Calibri" w:hAnsi="Calibri" w:cs="Calibri"/>
                <w:b/>
                <w:bCs/>
                <w:color w:val="000000"/>
              </w:rPr>
            </w:pPr>
            <w:r>
              <w:rPr>
                <w:rFonts w:ascii="Calibri" w:hAnsi="Calibri" w:cs="Calibri"/>
                <w:b/>
                <w:bCs/>
                <w:color w:val="000000"/>
              </w:rPr>
              <w:t>2024</w:t>
            </w:r>
          </w:p>
        </w:tc>
        <w:tc>
          <w:tcPr>
            <w:tcW w:w="799" w:type="dxa"/>
            <w:shd w:val="clear" w:color="auto" w:fill="auto"/>
            <w:noWrap/>
            <w:vAlign w:val="bottom"/>
            <w:hideMark/>
          </w:tcPr>
          <w:p w14:paraId="1F9CC9BE" w14:textId="77777777" w:rsidR="00EB2B54" w:rsidRDefault="00EB2B54" w:rsidP="00EB2B54">
            <w:pPr>
              <w:spacing w:after="0"/>
              <w:jc w:val="center"/>
              <w:rPr>
                <w:rFonts w:ascii="Calibri" w:hAnsi="Calibri" w:cs="Calibri"/>
                <w:b/>
                <w:bCs/>
                <w:color w:val="000000"/>
              </w:rPr>
            </w:pPr>
            <w:r>
              <w:rPr>
                <w:rFonts w:ascii="Calibri" w:hAnsi="Calibri" w:cs="Calibri"/>
                <w:b/>
                <w:bCs/>
                <w:color w:val="000000"/>
              </w:rPr>
              <w:t>2025</w:t>
            </w:r>
          </w:p>
        </w:tc>
        <w:tc>
          <w:tcPr>
            <w:tcW w:w="799" w:type="dxa"/>
            <w:shd w:val="clear" w:color="auto" w:fill="auto"/>
            <w:noWrap/>
            <w:vAlign w:val="bottom"/>
            <w:hideMark/>
          </w:tcPr>
          <w:p w14:paraId="5CF43758" w14:textId="77777777" w:rsidR="00EB2B54" w:rsidRDefault="00EB2B54" w:rsidP="00EB2B54">
            <w:pPr>
              <w:spacing w:after="0"/>
              <w:jc w:val="center"/>
              <w:rPr>
                <w:rFonts w:ascii="Calibri" w:hAnsi="Calibri" w:cs="Calibri"/>
                <w:b/>
                <w:bCs/>
                <w:color w:val="000000"/>
              </w:rPr>
            </w:pPr>
            <w:r>
              <w:rPr>
                <w:rFonts w:ascii="Calibri" w:hAnsi="Calibri" w:cs="Calibri"/>
                <w:b/>
                <w:bCs/>
                <w:color w:val="000000"/>
              </w:rPr>
              <w:t>2026</w:t>
            </w:r>
          </w:p>
        </w:tc>
        <w:tc>
          <w:tcPr>
            <w:tcW w:w="799" w:type="dxa"/>
            <w:shd w:val="clear" w:color="auto" w:fill="auto"/>
            <w:noWrap/>
            <w:vAlign w:val="bottom"/>
            <w:hideMark/>
          </w:tcPr>
          <w:p w14:paraId="1FFC0316" w14:textId="77777777" w:rsidR="00EB2B54" w:rsidRDefault="00EB2B54" w:rsidP="00EB2B54">
            <w:pPr>
              <w:spacing w:after="0"/>
              <w:jc w:val="center"/>
              <w:rPr>
                <w:rFonts w:ascii="Calibri" w:hAnsi="Calibri" w:cs="Calibri"/>
                <w:b/>
                <w:bCs/>
                <w:color w:val="000000"/>
              </w:rPr>
            </w:pPr>
            <w:r>
              <w:rPr>
                <w:rFonts w:ascii="Calibri" w:hAnsi="Calibri" w:cs="Calibri"/>
                <w:b/>
                <w:bCs/>
                <w:color w:val="000000"/>
              </w:rPr>
              <w:t>2027</w:t>
            </w:r>
          </w:p>
        </w:tc>
        <w:tc>
          <w:tcPr>
            <w:tcW w:w="836" w:type="dxa"/>
            <w:shd w:val="clear" w:color="auto" w:fill="auto"/>
            <w:noWrap/>
            <w:vAlign w:val="bottom"/>
            <w:hideMark/>
          </w:tcPr>
          <w:p w14:paraId="220F2DD9" w14:textId="77777777" w:rsidR="00EB2B54" w:rsidRDefault="00EB2B54" w:rsidP="00EB2B54">
            <w:pPr>
              <w:spacing w:after="0"/>
              <w:jc w:val="center"/>
              <w:rPr>
                <w:rFonts w:ascii="Calibri" w:hAnsi="Calibri" w:cs="Calibri"/>
                <w:b/>
                <w:bCs/>
                <w:color w:val="000000"/>
              </w:rPr>
            </w:pPr>
            <w:r>
              <w:rPr>
                <w:rFonts w:ascii="Calibri" w:hAnsi="Calibri" w:cs="Calibri"/>
                <w:b/>
                <w:bCs/>
                <w:color w:val="000000"/>
              </w:rPr>
              <w:t>2028</w:t>
            </w:r>
          </w:p>
        </w:tc>
        <w:tc>
          <w:tcPr>
            <w:tcW w:w="936" w:type="dxa"/>
            <w:shd w:val="clear" w:color="auto" w:fill="auto"/>
            <w:noWrap/>
            <w:vAlign w:val="bottom"/>
            <w:hideMark/>
          </w:tcPr>
          <w:p w14:paraId="3B5EA2EB" w14:textId="77777777" w:rsidR="00EB2B54" w:rsidRDefault="00EB2B54" w:rsidP="00EB2B54">
            <w:pPr>
              <w:spacing w:after="0"/>
              <w:jc w:val="center"/>
              <w:rPr>
                <w:rFonts w:ascii="Calibri" w:hAnsi="Calibri" w:cs="Calibri"/>
                <w:b/>
                <w:bCs/>
                <w:color w:val="000000"/>
              </w:rPr>
            </w:pPr>
            <w:r>
              <w:rPr>
                <w:rFonts w:ascii="Calibri" w:hAnsi="Calibri" w:cs="Calibri"/>
                <w:b/>
                <w:bCs/>
                <w:color w:val="000000"/>
              </w:rPr>
              <w:t>2029</w:t>
            </w:r>
          </w:p>
        </w:tc>
      </w:tr>
      <w:tr w:rsidR="00EB2B54" w14:paraId="3EBC0493" w14:textId="77777777" w:rsidTr="00EB2B54">
        <w:trPr>
          <w:trHeight w:val="280"/>
        </w:trPr>
        <w:tc>
          <w:tcPr>
            <w:tcW w:w="3096" w:type="dxa"/>
            <w:shd w:val="clear" w:color="auto" w:fill="auto"/>
            <w:noWrap/>
            <w:vAlign w:val="bottom"/>
            <w:hideMark/>
          </w:tcPr>
          <w:p w14:paraId="73F02B34" w14:textId="77777777" w:rsidR="00EB2B54" w:rsidRDefault="00EB2B54" w:rsidP="00EB2B54">
            <w:pPr>
              <w:spacing w:after="0"/>
              <w:rPr>
                <w:rFonts w:ascii="Calibri" w:hAnsi="Calibri" w:cs="Calibri"/>
                <w:color w:val="000000"/>
              </w:rPr>
            </w:pPr>
            <w:r>
              <w:rPr>
                <w:rFonts w:ascii="Calibri" w:hAnsi="Calibri" w:cs="Calibri"/>
                <w:color w:val="000000"/>
              </w:rPr>
              <w:t>Tagamaalisuse koefitsient</w:t>
            </w:r>
          </w:p>
        </w:tc>
        <w:tc>
          <w:tcPr>
            <w:tcW w:w="799" w:type="dxa"/>
            <w:shd w:val="clear" w:color="auto" w:fill="auto"/>
            <w:noWrap/>
            <w:vAlign w:val="bottom"/>
            <w:hideMark/>
          </w:tcPr>
          <w:p w14:paraId="5FB669CB" w14:textId="77777777" w:rsidR="00EB2B54" w:rsidRDefault="00EB2B54" w:rsidP="00EB2B54">
            <w:pPr>
              <w:spacing w:after="0"/>
              <w:jc w:val="right"/>
              <w:rPr>
                <w:rFonts w:ascii="Calibri" w:hAnsi="Calibri" w:cs="Calibri"/>
                <w:color w:val="000000"/>
              </w:rPr>
            </w:pPr>
            <w:r>
              <w:rPr>
                <w:rFonts w:ascii="Calibri" w:hAnsi="Calibri" w:cs="Calibri"/>
                <w:color w:val="000000"/>
              </w:rPr>
              <w:t>75%</w:t>
            </w:r>
          </w:p>
        </w:tc>
        <w:tc>
          <w:tcPr>
            <w:tcW w:w="799" w:type="dxa"/>
            <w:shd w:val="clear" w:color="auto" w:fill="auto"/>
            <w:noWrap/>
            <w:vAlign w:val="bottom"/>
            <w:hideMark/>
          </w:tcPr>
          <w:p w14:paraId="74056CFB" w14:textId="77777777" w:rsidR="00EB2B54" w:rsidRDefault="00EB2B54" w:rsidP="00EB2B54">
            <w:pPr>
              <w:spacing w:after="0"/>
              <w:jc w:val="right"/>
              <w:rPr>
                <w:rFonts w:ascii="Calibri" w:hAnsi="Calibri" w:cs="Calibri"/>
                <w:color w:val="000000"/>
              </w:rPr>
            </w:pPr>
            <w:r>
              <w:rPr>
                <w:rFonts w:ascii="Calibri" w:hAnsi="Calibri" w:cs="Calibri"/>
                <w:color w:val="000000"/>
              </w:rPr>
              <w:t>75%</w:t>
            </w:r>
          </w:p>
        </w:tc>
        <w:tc>
          <w:tcPr>
            <w:tcW w:w="799" w:type="dxa"/>
            <w:shd w:val="clear" w:color="auto" w:fill="auto"/>
            <w:noWrap/>
            <w:vAlign w:val="bottom"/>
            <w:hideMark/>
          </w:tcPr>
          <w:p w14:paraId="0F32CA07" w14:textId="77777777" w:rsidR="00EB2B54" w:rsidRDefault="00EB2B54" w:rsidP="00EB2B54">
            <w:pPr>
              <w:spacing w:after="0"/>
              <w:jc w:val="right"/>
              <w:rPr>
                <w:rFonts w:ascii="Calibri" w:hAnsi="Calibri" w:cs="Calibri"/>
                <w:color w:val="4472C4"/>
              </w:rPr>
            </w:pPr>
            <w:r>
              <w:rPr>
                <w:rFonts w:ascii="Calibri" w:hAnsi="Calibri" w:cs="Calibri"/>
                <w:color w:val="4472C4"/>
              </w:rPr>
              <w:t>77%</w:t>
            </w:r>
          </w:p>
        </w:tc>
        <w:tc>
          <w:tcPr>
            <w:tcW w:w="799" w:type="dxa"/>
            <w:shd w:val="clear" w:color="auto" w:fill="auto"/>
            <w:noWrap/>
            <w:vAlign w:val="bottom"/>
            <w:hideMark/>
          </w:tcPr>
          <w:p w14:paraId="2A7D374D" w14:textId="77777777" w:rsidR="00EB2B54" w:rsidRDefault="00EB2B54" w:rsidP="00EB2B54">
            <w:pPr>
              <w:spacing w:after="0"/>
              <w:jc w:val="right"/>
              <w:rPr>
                <w:rFonts w:ascii="Calibri" w:hAnsi="Calibri" w:cs="Calibri"/>
                <w:color w:val="4472C4"/>
              </w:rPr>
            </w:pPr>
            <w:r>
              <w:rPr>
                <w:rFonts w:ascii="Calibri" w:hAnsi="Calibri" w:cs="Calibri"/>
                <w:color w:val="4472C4"/>
              </w:rPr>
              <w:t>78%</w:t>
            </w:r>
          </w:p>
        </w:tc>
        <w:tc>
          <w:tcPr>
            <w:tcW w:w="799" w:type="dxa"/>
            <w:shd w:val="clear" w:color="auto" w:fill="auto"/>
            <w:noWrap/>
            <w:vAlign w:val="bottom"/>
            <w:hideMark/>
          </w:tcPr>
          <w:p w14:paraId="20BF46C3" w14:textId="77777777" w:rsidR="00EB2B54" w:rsidRDefault="00EB2B54" w:rsidP="00EB2B54">
            <w:pPr>
              <w:spacing w:after="0"/>
              <w:jc w:val="right"/>
              <w:rPr>
                <w:rFonts w:ascii="Calibri" w:hAnsi="Calibri" w:cs="Calibri"/>
                <w:color w:val="4472C4"/>
              </w:rPr>
            </w:pPr>
            <w:r>
              <w:rPr>
                <w:rFonts w:ascii="Calibri" w:hAnsi="Calibri" w:cs="Calibri"/>
                <w:color w:val="4472C4"/>
              </w:rPr>
              <w:t>79%</w:t>
            </w:r>
          </w:p>
        </w:tc>
        <w:tc>
          <w:tcPr>
            <w:tcW w:w="836" w:type="dxa"/>
            <w:shd w:val="clear" w:color="auto" w:fill="auto"/>
            <w:noWrap/>
            <w:vAlign w:val="bottom"/>
            <w:hideMark/>
          </w:tcPr>
          <w:p w14:paraId="650A6CBF" w14:textId="77777777" w:rsidR="00EB2B54" w:rsidRDefault="00EB2B54" w:rsidP="00EB2B54">
            <w:pPr>
              <w:spacing w:after="0"/>
              <w:jc w:val="right"/>
              <w:rPr>
                <w:rFonts w:ascii="Calibri" w:hAnsi="Calibri" w:cs="Calibri"/>
                <w:color w:val="4472C4"/>
              </w:rPr>
            </w:pPr>
            <w:r>
              <w:rPr>
                <w:rFonts w:ascii="Calibri" w:hAnsi="Calibri" w:cs="Calibri"/>
                <w:color w:val="4472C4"/>
              </w:rPr>
              <w:t>80%</w:t>
            </w:r>
          </w:p>
        </w:tc>
        <w:tc>
          <w:tcPr>
            <w:tcW w:w="936" w:type="dxa"/>
            <w:shd w:val="clear" w:color="auto" w:fill="auto"/>
            <w:noWrap/>
            <w:vAlign w:val="bottom"/>
            <w:hideMark/>
          </w:tcPr>
          <w:p w14:paraId="5BFAC748" w14:textId="77777777" w:rsidR="00EB2B54" w:rsidRDefault="00EB2B54" w:rsidP="00EB2B54">
            <w:pPr>
              <w:spacing w:after="0"/>
              <w:jc w:val="right"/>
              <w:rPr>
                <w:rFonts w:ascii="Calibri" w:hAnsi="Calibri" w:cs="Calibri"/>
                <w:color w:val="4472C4"/>
              </w:rPr>
            </w:pPr>
            <w:r>
              <w:rPr>
                <w:rFonts w:ascii="Calibri" w:hAnsi="Calibri" w:cs="Calibri"/>
                <w:color w:val="4472C4"/>
              </w:rPr>
              <w:t>80%</w:t>
            </w:r>
          </w:p>
        </w:tc>
      </w:tr>
      <w:tr w:rsidR="00EB2B54" w14:paraId="0844781C" w14:textId="77777777" w:rsidTr="00EB2B54">
        <w:trPr>
          <w:trHeight w:val="280"/>
        </w:trPr>
        <w:tc>
          <w:tcPr>
            <w:tcW w:w="3096" w:type="dxa"/>
            <w:shd w:val="clear" w:color="auto" w:fill="auto"/>
            <w:noWrap/>
            <w:vAlign w:val="bottom"/>
            <w:hideMark/>
          </w:tcPr>
          <w:p w14:paraId="4E085910" w14:textId="77777777" w:rsidR="00EB2B54" w:rsidRDefault="00EB2B54" w:rsidP="00EB2B54">
            <w:pPr>
              <w:spacing w:after="0"/>
              <w:rPr>
                <w:rFonts w:ascii="Calibri" w:hAnsi="Calibri" w:cs="Calibri"/>
                <w:color w:val="000000"/>
              </w:rPr>
            </w:pPr>
            <w:r>
              <w:rPr>
                <w:rFonts w:ascii="Calibri" w:hAnsi="Calibri" w:cs="Calibri"/>
                <w:color w:val="000000"/>
              </w:rPr>
              <w:t>Tasanduskoefitsient</w:t>
            </w:r>
          </w:p>
        </w:tc>
        <w:tc>
          <w:tcPr>
            <w:tcW w:w="799" w:type="dxa"/>
            <w:shd w:val="clear" w:color="auto" w:fill="auto"/>
            <w:noWrap/>
            <w:vAlign w:val="bottom"/>
            <w:hideMark/>
          </w:tcPr>
          <w:p w14:paraId="314D969A" w14:textId="77777777" w:rsidR="00EB2B54" w:rsidRDefault="00EB2B54" w:rsidP="00EB2B54">
            <w:pPr>
              <w:spacing w:after="0"/>
              <w:jc w:val="right"/>
              <w:rPr>
                <w:rFonts w:ascii="Calibri" w:hAnsi="Calibri" w:cs="Calibri"/>
                <w:color w:val="000000"/>
              </w:rPr>
            </w:pPr>
            <w:r>
              <w:rPr>
                <w:rFonts w:ascii="Calibri" w:hAnsi="Calibri" w:cs="Calibri"/>
                <w:color w:val="000000"/>
              </w:rPr>
              <w:t>90%</w:t>
            </w:r>
          </w:p>
        </w:tc>
        <w:tc>
          <w:tcPr>
            <w:tcW w:w="799" w:type="dxa"/>
            <w:shd w:val="clear" w:color="auto" w:fill="auto"/>
            <w:noWrap/>
            <w:vAlign w:val="bottom"/>
            <w:hideMark/>
          </w:tcPr>
          <w:p w14:paraId="089758FB" w14:textId="77777777" w:rsidR="00EB2B54" w:rsidRDefault="00EB2B54" w:rsidP="00EB2B54">
            <w:pPr>
              <w:spacing w:after="0"/>
              <w:jc w:val="right"/>
              <w:rPr>
                <w:rFonts w:ascii="Calibri" w:hAnsi="Calibri" w:cs="Calibri"/>
                <w:color w:val="000000"/>
              </w:rPr>
            </w:pPr>
            <w:r>
              <w:rPr>
                <w:rFonts w:ascii="Calibri" w:hAnsi="Calibri" w:cs="Calibri"/>
                <w:color w:val="000000"/>
              </w:rPr>
              <w:t>90%</w:t>
            </w:r>
          </w:p>
        </w:tc>
        <w:tc>
          <w:tcPr>
            <w:tcW w:w="799" w:type="dxa"/>
            <w:shd w:val="clear" w:color="auto" w:fill="auto"/>
            <w:noWrap/>
            <w:vAlign w:val="bottom"/>
            <w:hideMark/>
          </w:tcPr>
          <w:p w14:paraId="313D5027" w14:textId="77777777" w:rsidR="00EB2B54" w:rsidRDefault="00EB2B54" w:rsidP="00EB2B54">
            <w:pPr>
              <w:spacing w:after="0"/>
              <w:jc w:val="right"/>
              <w:rPr>
                <w:rFonts w:ascii="Calibri" w:hAnsi="Calibri" w:cs="Calibri"/>
                <w:color w:val="4472C4"/>
              </w:rPr>
            </w:pPr>
            <w:r>
              <w:rPr>
                <w:rFonts w:ascii="Calibri" w:hAnsi="Calibri" w:cs="Calibri"/>
                <w:color w:val="4472C4"/>
              </w:rPr>
              <w:t>90%</w:t>
            </w:r>
          </w:p>
        </w:tc>
        <w:tc>
          <w:tcPr>
            <w:tcW w:w="799" w:type="dxa"/>
            <w:shd w:val="clear" w:color="auto" w:fill="auto"/>
            <w:noWrap/>
            <w:vAlign w:val="bottom"/>
            <w:hideMark/>
          </w:tcPr>
          <w:p w14:paraId="1838C023" w14:textId="77777777" w:rsidR="00EB2B54" w:rsidRDefault="00EB2B54" w:rsidP="00EB2B54">
            <w:pPr>
              <w:spacing w:after="0"/>
              <w:jc w:val="right"/>
              <w:rPr>
                <w:rFonts w:ascii="Calibri" w:hAnsi="Calibri" w:cs="Calibri"/>
                <w:color w:val="4472C4"/>
              </w:rPr>
            </w:pPr>
            <w:r>
              <w:rPr>
                <w:rFonts w:ascii="Calibri" w:hAnsi="Calibri" w:cs="Calibri"/>
                <w:color w:val="4472C4"/>
              </w:rPr>
              <w:t>90%</w:t>
            </w:r>
          </w:p>
        </w:tc>
        <w:tc>
          <w:tcPr>
            <w:tcW w:w="799" w:type="dxa"/>
            <w:shd w:val="clear" w:color="auto" w:fill="auto"/>
            <w:noWrap/>
            <w:vAlign w:val="bottom"/>
            <w:hideMark/>
          </w:tcPr>
          <w:p w14:paraId="542FBBA1" w14:textId="77777777" w:rsidR="00EB2B54" w:rsidRDefault="00EB2B54" w:rsidP="00EB2B54">
            <w:pPr>
              <w:spacing w:after="0"/>
              <w:jc w:val="right"/>
              <w:rPr>
                <w:rFonts w:ascii="Calibri" w:hAnsi="Calibri" w:cs="Calibri"/>
                <w:color w:val="4472C4"/>
              </w:rPr>
            </w:pPr>
            <w:r>
              <w:rPr>
                <w:rFonts w:ascii="Calibri" w:hAnsi="Calibri" w:cs="Calibri"/>
                <w:color w:val="4472C4"/>
              </w:rPr>
              <w:t>90%</w:t>
            </w:r>
          </w:p>
        </w:tc>
        <w:tc>
          <w:tcPr>
            <w:tcW w:w="836" w:type="dxa"/>
            <w:shd w:val="clear" w:color="auto" w:fill="auto"/>
            <w:noWrap/>
            <w:vAlign w:val="bottom"/>
            <w:hideMark/>
          </w:tcPr>
          <w:p w14:paraId="463E032D" w14:textId="77777777" w:rsidR="00EB2B54" w:rsidRDefault="00EB2B54" w:rsidP="00EB2B54">
            <w:pPr>
              <w:spacing w:after="0"/>
              <w:jc w:val="right"/>
              <w:rPr>
                <w:rFonts w:ascii="Calibri" w:hAnsi="Calibri" w:cs="Calibri"/>
                <w:color w:val="4472C4"/>
              </w:rPr>
            </w:pPr>
            <w:r>
              <w:rPr>
                <w:rFonts w:ascii="Calibri" w:hAnsi="Calibri" w:cs="Calibri"/>
                <w:color w:val="4472C4"/>
              </w:rPr>
              <w:t>90%</w:t>
            </w:r>
          </w:p>
        </w:tc>
        <w:tc>
          <w:tcPr>
            <w:tcW w:w="936" w:type="dxa"/>
            <w:shd w:val="clear" w:color="auto" w:fill="auto"/>
            <w:noWrap/>
            <w:vAlign w:val="bottom"/>
            <w:hideMark/>
          </w:tcPr>
          <w:p w14:paraId="540CC092" w14:textId="77777777" w:rsidR="00EB2B54" w:rsidRDefault="00EB2B54" w:rsidP="00EB2B54">
            <w:pPr>
              <w:spacing w:after="0"/>
              <w:jc w:val="right"/>
              <w:rPr>
                <w:rFonts w:ascii="Calibri" w:hAnsi="Calibri" w:cs="Calibri"/>
                <w:color w:val="4472C4"/>
              </w:rPr>
            </w:pPr>
            <w:r>
              <w:rPr>
                <w:rFonts w:ascii="Calibri" w:hAnsi="Calibri" w:cs="Calibri"/>
                <w:color w:val="4472C4"/>
              </w:rPr>
              <w:t>90%</w:t>
            </w:r>
          </w:p>
        </w:tc>
      </w:tr>
      <w:tr w:rsidR="00EB2B54" w14:paraId="5A95AD7B" w14:textId="77777777" w:rsidTr="00EB2B54">
        <w:trPr>
          <w:trHeight w:val="280"/>
        </w:trPr>
        <w:tc>
          <w:tcPr>
            <w:tcW w:w="3895" w:type="dxa"/>
            <w:gridSpan w:val="2"/>
            <w:shd w:val="clear" w:color="auto" w:fill="auto"/>
            <w:noWrap/>
            <w:vAlign w:val="bottom"/>
            <w:hideMark/>
          </w:tcPr>
          <w:p w14:paraId="45C08032" w14:textId="77777777" w:rsidR="00EB2B54" w:rsidRDefault="00EB2B54" w:rsidP="00EB2B54">
            <w:pPr>
              <w:spacing w:after="0"/>
              <w:rPr>
                <w:rFonts w:ascii="Calibri" w:hAnsi="Calibri" w:cs="Calibri"/>
                <w:color w:val="000000"/>
              </w:rPr>
            </w:pPr>
            <w:r>
              <w:rPr>
                <w:rFonts w:ascii="Calibri" w:hAnsi="Calibri" w:cs="Calibri"/>
                <w:color w:val="000000"/>
              </w:rPr>
              <w:t>Elanike kahanemise leevendamine</w:t>
            </w:r>
          </w:p>
        </w:tc>
        <w:tc>
          <w:tcPr>
            <w:tcW w:w="799" w:type="dxa"/>
            <w:shd w:val="clear" w:color="auto" w:fill="auto"/>
            <w:noWrap/>
            <w:vAlign w:val="bottom"/>
            <w:hideMark/>
          </w:tcPr>
          <w:p w14:paraId="0502D695" w14:textId="77777777" w:rsidR="00EB2B54" w:rsidRDefault="00EB2B54" w:rsidP="00EB2B54">
            <w:pPr>
              <w:spacing w:after="0"/>
              <w:jc w:val="right"/>
              <w:rPr>
                <w:rFonts w:ascii="Calibri" w:hAnsi="Calibri" w:cs="Calibri"/>
                <w:color w:val="000000"/>
              </w:rPr>
            </w:pPr>
            <w:r>
              <w:rPr>
                <w:rFonts w:ascii="Calibri" w:hAnsi="Calibri" w:cs="Calibri"/>
                <w:color w:val="000000"/>
              </w:rPr>
              <w:t>20%</w:t>
            </w:r>
          </w:p>
        </w:tc>
        <w:tc>
          <w:tcPr>
            <w:tcW w:w="799" w:type="dxa"/>
            <w:shd w:val="clear" w:color="auto" w:fill="auto"/>
            <w:noWrap/>
            <w:vAlign w:val="bottom"/>
            <w:hideMark/>
          </w:tcPr>
          <w:p w14:paraId="58EED27E" w14:textId="77777777" w:rsidR="00EB2B54" w:rsidRDefault="00EB2B54" w:rsidP="00EB2B54">
            <w:pPr>
              <w:spacing w:after="0"/>
              <w:jc w:val="right"/>
              <w:rPr>
                <w:rFonts w:ascii="Calibri" w:hAnsi="Calibri" w:cs="Calibri"/>
                <w:color w:val="4472C4"/>
              </w:rPr>
            </w:pPr>
            <w:r>
              <w:rPr>
                <w:rFonts w:ascii="Calibri" w:hAnsi="Calibri" w:cs="Calibri"/>
                <w:color w:val="4472C4"/>
              </w:rPr>
              <w:t>20%</w:t>
            </w:r>
          </w:p>
        </w:tc>
        <w:tc>
          <w:tcPr>
            <w:tcW w:w="799" w:type="dxa"/>
            <w:shd w:val="clear" w:color="auto" w:fill="auto"/>
            <w:noWrap/>
            <w:vAlign w:val="bottom"/>
            <w:hideMark/>
          </w:tcPr>
          <w:p w14:paraId="5D0E06BC" w14:textId="77777777" w:rsidR="00EB2B54" w:rsidRDefault="00EB2B54" w:rsidP="00EB2B54">
            <w:pPr>
              <w:spacing w:after="0"/>
              <w:jc w:val="right"/>
              <w:rPr>
                <w:rFonts w:ascii="Calibri" w:hAnsi="Calibri" w:cs="Calibri"/>
                <w:color w:val="4472C4"/>
              </w:rPr>
            </w:pPr>
            <w:r>
              <w:rPr>
                <w:rFonts w:ascii="Calibri" w:hAnsi="Calibri" w:cs="Calibri"/>
                <w:color w:val="4472C4"/>
              </w:rPr>
              <w:t>20%</w:t>
            </w:r>
          </w:p>
        </w:tc>
        <w:tc>
          <w:tcPr>
            <w:tcW w:w="799" w:type="dxa"/>
            <w:shd w:val="clear" w:color="auto" w:fill="auto"/>
            <w:noWrap/>
            <w:vAlign w:val="bottom"/>
            <w:hideMark/>
          </w:tcPr>
          <w:p w14:paraId="7E2547C3" w14:textId="77777777" w:rsidR="00EB2B54" w:rsidRDefault="00EB2B54" w:rsidP="00EB2B54">
            <w:pPr>
              <w:spacing w:after="0"/>
              <w:jc w:val="right"/>
              <w:rPr>
                <w:rFonts w:ascii="Calibri" w:hAnsi="Calibri" w:cs="Calibri"/>
                <w:color w:val="4472C4"/>
              </w:rPr>
            </w:pPr>
            <w:r>
              <w:rPr>
                <w:rFonts w:ascii="Calibri" w:hAnsi="Calibri" w:cs="Calibri"/>
                <w:color w:val="4472C4"/>
              </w:rPr>
              <w:t>20%</w:t>
            </w:r>
          </w:p>
        </w:tc>
        <w:tc>
          <w:tcPr>
            <w:tcW w:w="836" w:type="dxa"/>
            <w:shd w:val="clear" w:color="auto" w:fill="auto"/>
            <w:noWrap/>
            <w:vAlign w:val="bottom"/>
            <w:hideMark/>
          </w:tcPr>
          <w:p w14:paraId="773F1280" w14:textId="77777777" w:rsidR="00EB2B54" w:rsidRDefault="00EB2B54" w:rsidP="00EB2B54">
            <w:pPr>
              <w:spacing w:after="0"/>
              <w:jc w:val="right"/>
              <w:rPr>
                <w:rFonts w:ascii="Calibri" w:hAnsi="Calibri" w:cs="Calibri"/>
                <w:color w:val="4472C4"/>
              </w:rPr>
            </w:pPr>
            <w:r>
              <w:rPr>
                <w:rFonts w:ascii="Calibri" w:hAnsi="Calibri" w:cs="Calibri"/>
                <w:color w:val="4472C4"/>
              </w:rPr>
              <w:t>20%</w:t>
            </w:r>
          </w:p>
        </w:tc>
        <w:tc>
          <w:tcPr>
            <w:tcW w:w="936" w:type="dxa"/>
            <w:shd w:val="clear" w:color="auto" w:fill="auto"/>
            <w:noWrap/>
            <w:vAlign w:val="bottom"/>
            <w:hideMark/>
          </w:tcPr>
          <w:p w14:paraId="49B5B2B5" w14:textId="77777777" w:rsidR="00EB2B54" w:rsidRDefault="00EB2B54" w:rsidP="00EB2B54">
            <w:pPr>
              <w:spacing w:after="0"/>
              <w:jc w:val="right"/>
              <w:rPr>
                <w:rFonts w:ascii="Calibri" w:hAnsi="Calibri" w:cs="Calibri"/>
                <w:color w:val="4472C4"/>
              </w:rPr>
            </w:pPr>
            <w:r>
              <w:rPr>
                <w:rFonts w:ascii="Calibri" w:hAnsi="Calibri" w:cs="Calibri"/>
                <w:color w:val="4472C4"/>
              </w:rPr>
              <w:t>20%</w:t>
            </w:r>
          </w:p>
        </w:tc>
      </w:tr>
      <w:tr w:rsidR="00EB2B54" w14:paraId="512EE4A6" w14:textId="77777777" w:rsidTr="00EB2B54">
        <w:trPr>
          <w:trHeight w:val="280"/>
        </w:trPr>
        <w:tc>
          <w:tcPr>
            <w:tcW w:w="3096" w:type="dxa"/>
            <w:shd w:val="clear" w:color="auto" w:fill="auto"/>
            <w:noWrap/>
            <w:vAlign w:val="bottom"/>
            <w:hideMark/>
          </w:tcPr>
          <w:p w14:paraId="3B2D3ED2" w14:textId="77777777" w:rsidR="00EB2B54" w:rsidRDefault="00EB2B54" w:rsidP="00EB2B54">
            <w:pPr>
              <w:spacing w:after="0"/>
              <w:rPr>
                <w:rFonts w:ascii="Calibri" w:hAnsi="Calibri" w:cs="Calibri"/>
                <w:color w:val="000000"/>
              </w:rPr>
            </w:pPr>
            <w:r>
              <w:rPr>
                <w:rFonts w:ascii="Calibri" w:hAnsi="Calibri" w:cs="Calibri"/>
                <w:color w:val="000000"/>
              </w:rPr>
              <w:t>JITM KOV osa</w:t>
            </w:r>
          </w:p>
        </w:tc>
        <w:tc>
          <w:tcPr>
            <w:tcW w:w="799" w:type="dxa"/>
            <w:shd w:val="clear" w:color="auto" w:fill="auto"/>
            <w:noWrap/>
            <w:vAlign w:val="bottom"/>
            <w:hideMark/>
          </w:tcPr>
          <w:p w14:paraId="51CFD0C9" w14:textId="77777777" w:rsidR="00EB2B54" w:rsidRDefault="00EB2B54" w:rsidP="00EB2B54">
            <w:pPr>
              <w:spacing w:after="0"/>
              <w:rPr>
                <w:rFonts w:ascii="Calibri" w:hAnsi="Calibri" w:cs="Calibri"/>
                <w:color w:val="000000"/>
              </w:rPr>
            </w:pPr>
          </w:p>
        </w:tc>
        <w:tc>
          <w:tcPr>
            <w:tcW w:w="799" w:type="dxa"/>
            <w:shd w:val="clear" w:color="auto" w:fill="auto"/>
            <w:noWrap/>
            <w:vAlign w:val="bottom"/>
            <w:hideMark/>
          </w:tcPr>
          <w:p w14:paraId="2C898856" w14:textId="77777777" w:rsidR="00EB2B54" w:rsidRDefault="00EB2B54" w:rsidP="00EB2B54">
            <w:pPr>
              <w:spacing w:after="0"/>
              <w:rPr>
                <w:sz w:val="20"/>
                <w:szCs w:val="20"/>
              </w:rPr>
            </w:pPr>
          </w:p>
        </w:tc>
        <w:tc>
          <w:tcPr>
            <w:tcW w:w="799" w:type="dxa"/>
            <w:shd w:val="clear" w:color="auto" w:fill="auto"/>
            <w:noWrap/>
            <w:vAlign w:val="bottom"/>
            <w:hideMark/>
          </w:tcPr>
          <w:p w14:paraId="33401280" w14:textId="77777777" w:rsidR="00EB2B54" w:rsidRDefault="00EB2B54" w:rsidP="00EB2B54">
            <w:pPr>
              <w:spacing w:after="0"/>
              <w:jc w:val="right"/>
              <w:rPr>
                <w:rFonts w:ascii="Calibri" w:hAnsi="Calibri" w:cs="Calibri"/>
                <w:color w:val="4472C4"/>
              </w:rPr>
            </w:pPr>
            <w:r>
              <w:rPr>
                <w:rFonts w:ascii="Calibri" w:hAnsi="Calibri" w:cs="Calibri"/>
                <w:color w:val="4472C4"/>
              </w:rPr>
              <w:t>0,0%</w:t>
            </w:r>
          </w:p>
        </w:tc>
        <w:tc>
          <w:tcPr>
            <w:tcW w:w="799" w:type="dxa"/>
            <w:shd w:val="clear" w:color="auto" w:fill="auto"/>
            <w:noWrap/>
            <w:vAlign w:val="bottom"/>
            <w:hideMark/>
          </w:tcPr>
          <w:p w14:paraId="3C128860" w14:textId="77777777" w:rsidR="00EB2B54" w:rsidRDefault="00EB2B54" w:rsidP="00EB2B54">
            <w:pPr>
              <w:spacing w:after="0"/>
              <w:jc w:val="right"/>
              <w:rPr>
                <w:rFonts w:ascii="Calibri" w:hAnsi="Calibri" w:cs="Calibri"/>
                <w:color w:val="4472C4"/>
              </w:rPr>
            </w:pPr>
            <w:r>
              <w:rPr>
                <w:rFonts w:ascii="Calibri" w:hAnsi="Calibri" w:cs="Calibri"/>
                <w:color w:val="4472C4"/>
              </w:rPr>
              <w:t>0,0%</w:t>
            </w:r>
          </w:p>
        </w:tc>
        <w:tc>
          <w:tcPr>
            <w:tcW w:w="799" w:type="dxa"/>
            <w:shd w:val="clear" w:color="auto" w:fill="auto"/>
            <w:noWrap/>
            <w:vAlign w:val="bottom"/>
            <w:hideMark/>
          </w:tcPr>
          <w:p w14:paraId="2E06967B" w14:textId="77777777" w:rsidR="00EB2B54" w:rsidRDefault="00EB2B54" w:rsidP="00EB2B54">
            <w:pPr>
              <w:spacing w:after="0"/>
              <w:jc w:val="right"/>
              <w:rPr>
                <w:rFonts w:ascii="Calibri" w:hAnsi="Calibri" w:cs="Calibri"/>
                <w:color w:val="4472C4"/>
              </w:rPr>
            </w:pPr>
            <w:r>
              <w:rPr>
                <w:rFonts w:ascii="Calibri" w:hAnsi="Calibri" w:cs="Calibri"/>
                <w:color w:val="4472C4"/>
              </w:rPr>
              <w:t>0,0%</w:t>
            </w:r>
          </w:p>
        </w:tc>
        <w:tc>
          <w:tcPr>
            <w:tcW w:w="836" w:type="dxa"/>
            <w:shd w:val="clear" w:color="auto" w:fill="auto"/>
            <w:noWrap/>
            <w:vAlign w:val="bottom"/>
            <w:hideMark/>
          </w:tcPr>
          <w:p w14:paraId="4DC7AAB9" w14:textId="77777777" w:rsidR="00EB2B54" w:rsidRDefault="00EB2B54" w:rsidP="00EB2B54">
            <w:pPr>
              <w:spacing w:after="0"/>
              <w:jc w:val="right"/>
              <w:rPr>
                <w:rFonts w:ascii="Calibri" w:hAnsi="Calibri" w:cs="Calibri"/>
                <w:color w:val="4472C4"/>
              </w:rPr>
            </w:pPr>
            <w:r>
              <w:rPr>
                <w:rFonts w:ascii="Calibri" w:hAnsi="Calibri" w:cs="Calibri"/>
                <w:color w:val="4472C4"/>
              </w:rPr>
              <w:t>0,0%</w:t>
            </w:r>
          </w:p>
        </w:tc>
        <w:tc>
          <w:tcPr>
            <w:tcW w:w="936" w:type="dxa"/>
            <w:shd w:val="clear" w:color="auto" w:fill="auto"/>
            <w:noWrap/>
            <w:vAlign w:val="bottom"/>
            <w:hideMark/>
          </w:tcPr>
          <w:p w14:paraId="7FED6454" w14:textId="77777777" w:rsidR="00EB2B54" w:rsidRDefault="00EB2B54" w:rsidP="00EB2B54">
            <w:pPr>
              <w:spacing w:after="0"/>
              <w:jc w:val="right"/>
              <w:rPr>
                <w:rFonts w:ascii="Calibri" w:hAnsi="Calibri" w:cs="Calibri"/>
                <w:color w:val="4472C4"/>
              </w:rPr>
            </w:pPr>
            <w:r>
              <w:rPr>
                <w:rFonts w:ascii="Calibri" w:hAnsi="Calibri" w:cs="Calibri"/>
                <w:color w:val="4472C4"/>
              </w:rPr>
              <w:t>0,0%</w:t>
            </w:r>
          </w:p>
        </w:tc>
      </w:tr>
      <w:tr w:rsidR="00EB2B54" w14:paraId="1D7A499C" w14:textId="77777777" w:rsidTr="00EB2B54">
        <w:trPr>
          <w:trHeight w:val="280"/>
        </w:trPr>
        <w:tc>
          <w:tcPr>
            <w:tcW w:w="3096" w:type="dxa"/>
            <w:shd w:val="clear" w:color="auto" w:fill="auto"/>
            <w:noWrap/>
            <w:vAlign w:val="bottom"/>
            <w:hideMark/>
          </w:tcPr>
          <w:p w14:paraId="0F069125" w14:textId="77777777" w:rsidR="00EB2B54" w:rsidRDefault="00EB2B54" w:rsidP="00EB2B54">
            <w:pPr>
              <w:spacing w:after="0"/>
              <w:rPr>
                <w:rFonts w:ascii="Calibri" w:hAnsi="Calibri" w:cs="Calibri"/>
                <w:color w:val="000000"/>
              </w:rPr>
            </w:pPr>
            <w:r>
              <w:rPr>
                <w:rFonts w:ascii="Calibri" w:hAnsi="Calibri" w:cs="Calibri"/>
                <w:color w:val="000000"/>
              </w:rPr>
              <w:t>KOV FITM pensionitulu määr</w:t>
            </w:r>
          </w:p>
        </w:tc>
        <w:tc>
          <w:tcPr>
            <w:tcW w:w="799" w:type="dxa"/>
            <w:shd w:val="clear" w:color="auto" w:fill="auto"/>
            <w:noWrap/>
            <w:vAlign w:val="bottom"/>
            <w:hideMark/>
          </w:tcPr>
          <w:p w14:paraId="09FAEDF2" w14:textId="77777777" w:rsidR="00EB2B54" w:rsidRDefault="00EB2B54" w:rsidP="00EB2B54">
            <w:pPr>
              <w:spacing w:after="0"/>
              <w:rPr>
                <w:rFonts w:ascii="Calibri" w:hAnsi="Calibri" w:cs="Calibri"/>
                <w:color w:val="000000"/>
              </w:rPr>
            </w:pPr>
          </w:p>
        </w:tc>
        <w:tc>
          <w:tcPr>
            <w:tcW w:w="799" w:type="dxa"/>
            <w:shd w:val="clear" w:color="auto" w:fill="auto"/>
            <w:noWrap/>
            <w:vAlign w:val="bottom"/>
            <w:hideMark/>
          </w:tcPr>
          <w:p w14:paraId="7A87048C" w14:textId="77777777" w:rsidR="00EB2B54" w:rsidRDefault="00EB2B54" w:rsidP="00EB2B54">
            <w:pPr>
              <w:spacing w:after="0"/>
              <w:jc w:val="right"/>
              <w:rPr>
                <w:rFonts w:ascii="Calibri" w:hAnsi="Calibri" w:cs="Calibri"/>
                <w:color w:val="000000"/>
              </w:rPr>
            </w:pPr>
            <w:r>
              <w:rPr>
                <w:rFonts w:ascii="Calibri" w:hAnsi="Calibri" w:cs="Calibri"/>
                <w:color w:val="000000"/>
              </w:rPr>
              <w:t>2,50%</w:t>
            </w:r>
          </w:p>
        </w:tc>
        <w:tc>
          <w:tcPr>
            <w:tcW w:w="799" w:type="dxa"/>
            <w:shd w:val="clear" w:color="auto" w:fill="auto"/>
            <w:noWrap/>
            <w:vAlign w:val="bottom"/>
            <w:hideMark/>
          </w:tcPr>
          <w:p w14:paraId="28C6726F" w14:textId="77777777" w:rsidR="00EB2B54" w:rsidRDefault="00EB2B54" w:rsidP="00EB2B54">
            <w:pPr>
              <w:spacing w:after="0"/>
              <w:jc w:val="right"/>
              <w:rPr>
                <w:rFonts w:ascii="Calibri" w:hAnsi="Calibri" w:cs="Calibri"/>
                <w:color w:val="4472C4"/>
              </w:rPr>
            </w:pPr>
            <w:r>
              <w:rPr>
                <w:rFonts w:ascii="Calibri" w:hAnsi="Calibri" w:cs="Calibri"/>
                <w:color w:val="4472C4"/>
              </w:rPr>
              <w:t>5,50%</w:t>
            </w:r>
          </w:p>
        </w:tc>
        <w:tc>
          <w:tcPr>
            <w:tcW w:w="799" w:type="dxa"/>
            <w:shd w:val="clear" w:color="auto" w:fill="auto"/>
            <w:noWrap/>
            <w:vAlign w:val="bottom"/>
            <w:hideMark/>
          </w:tcPr>
          <w:p w14:paraId="6020E4AA" w14:textId="77777777" w:rsidR="00EB2B54" w:rsidRDefault="00EB2B54" w:rsidP="00EB2B54">
            <w:pPr>
              <w:spacing w:after="0"/>
              <w:jc w:val="right"/>
              <w:rPr>
                <w:rFonts w:ascii="Calibri" w:hAnsi="Calibri" w:cs="Calibri"/>
                <w:color w:val="4472C4"/>
              </w:rPr>
            </w:pPr>
            <w:r>
              <w:rPr>
                <w:rFonts w:ascii="Calibri" w:hAnsi="Calibri" w:cs="Calibri"/>
                <w:color w:val="4472C4"/>
              </w:rPr>
              <w:t>8,50%</w:t>
            </w:r>
          </w:p>
        </w:tc>
        <w:tc>
          <w:tcPr>
            <w:tcW w:w="799" w:type="dxa"/>
            <w:shd w:val="clear" w:color="auto" w:fill="auto"/>
            <w:noWrap/>
            <w:vAlign w:val="bottom"/>
            <w:hideMark/>
          </w:tcPr>
          <w:p w14:paraId="68F12D84" w14:textId="77777777" w:rsidR="00EB2B54" w:rsidRDefault="00EB2B54" w:rsidP="00EB2B54">
            <w:pPr>
              <w:spacing w:after="0"/>
              <w:jc w:val="right"/>
              <w:rPr>
                <w:rFonts w:ascii="Calibri" w:hAnsi="Calibri" w:cs="Calibri"/>
                <w:color w:val="4472C4"/>
              </w:rPr>
            </w:pPr>
            <w:r>
              <w:rPr>
                <w:rFonts w:ascii="Calibri" w:hAnsi="Calibri" w:cs="Calibri"/>
                <w:color w:val="4472C4"/>
              </w:rPr>
              <w:t>10,23%</w:t>
            </w:r>
          </w:p>
        </w:tc>
        <w:tc>
          <w:tcPr>
            <w:tcW w:w="836" w:type="dxa"/>
            <w:shd w:val="clear" w:color="auto" w:fill="auto"/>
            <w:noWrap/>
            <w:vAlign w:val="bottom"/>
            <w:hideMark/>
          </w:tcPr>
          <w:p w14:paraId="076C000A" w14:textId="77777777" w:rsidR="00EB2B54" w:rsidRDefault="00EB2B54" w:rsidP="00EB2B54">
            <w:pPr>
              <w:spacing w:after="0"/>
              <w:jc w:val="right"/>
              <w:rPr>
                <w:rFonts w:ascii="Calibri" w:hAnsi="Calibri" w:cs="Calibri"/>
                <w:color w:val="4472C4"/>
              </w:rPr>
            </w:pPr>
            <w:r>
              <w:rPr>
                <w:rFonts w:ascii="Calibri" w:hAnsi="Calibri" w:cs="Calibri"/>
                <w:color w:val="4472C4"/>
              </w:rPr>
              <w:t>10,23%</w:t>
            </w:r>
          </w:p>
        </w:tc>
        <w:tc>
          <w:tcPr>
            <w:tcW w:w="936" w:type="dxa"/>
            <w:shd w:val="clear" w:color="auto" w:fill="auto"/>
            <w:noWrap/>
            <w:vAlign w:val="bottom"/>
            <w:hideMark/>
          </w:tcPr>
          <w:p w14:paraId="554A465D" w14:textId="77777777" w:rsidR="00EB2B54" w:rsidRDefault="00EB2B54" w:rsidP="00EB2B54">
            <w:pPr>
              <w:spacing w:after="0"/>
              <w:jc w:val="right"/>
              <w:rPr>
                <w:rFonts w:ascii="Calibri" w:hAnsi="Calibri" w:cs="Calibri"/>
                <w:color w:val="4472C4"/>
              </w:rPr>
            </w:pPr>
            <w:r>
              <w:rPr>
                <w:rFonts w:ascii="Calibri" w:hAnsi="Calibri" w:cs="Calibri"/>
                <w:color w:val="4472C4"/>
              </w:rPr>
              <w:t>10,23%</w:t>
            </w:r>
          </w:p>
        </w:tc>
      </w:tr>
      <w:tr w:rsidR="00EB2B54" w14:paraId="78D6F00D" w14:textId="77777777" w:rsidTr="00EB2B54">
        <w:trPr>
          <w:trHeight w:val="280"/>
        </w:trPr>
        <w:tc>
          <w:tcPr>
            <w:tcW w:w="3096" w:type="dxa"/>
            <w:shd w:val="clear" w:color="auto" w:fill="auto"/>
            <w:noWrap/>
            <w:vAlign w:val="bottom"/>
            <w:hideMark/>
          </w:tcPr>
          <w:p w14:paraId="7766A7C1" w14:textId="77777777" w:rsidR="00EB2B54" w:rsidRDefault="00EB2B54" w:rsidP="00EB2B54">
            <w:pPr>
              <w:spacing w:after="0"/>
              <w:rPr>
                <w:rFonts w:ascii="Calibri" w:hAnsi="Calibri" w:cs="Calibri"/>
                <w:color w:val="000000"/>
              </w:rPr>
            </w:pPr>
            <w:r>
              <w:rPr>
                <w:rFonts w:ascii="Calibri" w:hAnsi="Calibri" w:cs="Calibri"/>
                <w:color w:val="000000"/>
              </w:rPr>
              <w:t>KOV FITM muu tulu määr</w:t>
            </w:r>
          </w:p>
        </w:tc>
        <w:tc>
          <w:tcPr>
            <w:tcW w:w="799" w:type="dxa"/>
            <w:shd w:val="clear" w:color="auto" w:fill="auto"/>
            <w:noWrap/>
            <w:vAlign w:val="bottom"/>
            <w:hideMark/>
          </w:tcPr>
          <w:p w14:paraId="383E9F42" w14:textId="77777777" w:rsidR="00EB2B54" w:rsidRDefault="00EB2B54" w:rsidP="00EB2B54">
            <w:pPr>
              <w:spacing w:after="0"/>
              <w:jc w:val="right"/>
              <w:rPr>
                <w:rFonts w:ascii="Calibri" w:hAnsi="Calibri" w:cs="Calibri"/>
                <w:color w:val="000000"/>
              </w:rPr>
            </w:pPr>
            <w:r>
              <w:rPr>
                <w:rFonts w:ascii="Calibri" w:hAnsi="Calibri" w:cs="Calibri"/>
                <w:color w:val="000000"/>
              </w:rPr>
              <w:t>11,96%</w:t>
            </w:r>
          </w:p>
        </w:tc>
        <w:tc>
          <w:tcPr>
            <w:tcW w:w="799" w:type="dxa"/>
            <w:shd w:val="clear" w:color="auto" w:fill="auto"/>
            <w:noWrap/>
            <w:vAlign w:val="bottom"/>
            <w:hideMark/>
          </w:tcPr>
          <w:p w14:paraId="55708277" w14:textId="77777777" w:rsidR="00EB2B54" w:rsidRDefault="00EB2B54" w:rsidP="00EB2B54">
            <w:pPr>
              <w:spacing w:after="0"/>
              <w:jc w:val="right"/>
              <w:rPr>
                <w:rFonts w:ascii="Calibri" w:hAnsi="Calibri" w:cs="Calibri"/>
                <w:color w:val="000000"/>
              </w:rPr>
            </w:pPr>
            <w:r>
              <w:rPr>
                <w:rFonts w:ascii="Calibri" w:hAnsi="Calibri" w:cs="Calibri"/>
                <w:color w:val="000000"/>
              </w:rPr>
              <w:t>11,89%</w:t>
            </w:r>
          </w:p>
        </w:tc>
        <w:tc>
          <w:tcPr>
            <w:tcW w:w="799" w:type="dxa"/>
            <w:shd w:val="clear" w:color="auto" w:fill="auto"/>
            <w:noWrap/>
            <w:vAlign w:val="bottom"/>
            <w:hideMark/>
          </w:tcPr>
          <w:p w14:paraId="5849E0C0" w14:textId="77777777" w:rsidR="00EB2B54" w:rsidRDefault="00EB2B54" w:rsidP="00EB2B54">
            <w:pPr>
              <w:spacing w:after="0"/>
              <w:jc w:val="right"/>
              <w:rPr>
                <w:rFonts w:ascii="Calibri" w:hAnsi="Calibri" w:cs="Calibri"/>
                <w:color w:val="4472C4"/>
              </w:rPr>
            </w:pPr>
            <w:r>
              <w:rPr>
                <w:rFonts w:ascii="Calibri" w:hAnsi="Calibri" w:cs="Calibri"/>
                <w:color w:val="4472C4"/>
              </w:rPr>
              <w:t>11,29%</w:t>
            </w:r>
          </w:p>
        </w:tc>
        <w:tc>
          <w:tcPr>
            <w:tcW w:w="799" w:type="dxa"/>
            <w:shd w:val="clear" w:color="auto" w:fill="auto"/>
            <w:noWrap/>
            <w:vAlign w:val="bottom"/>
            <w:hideMark/>
          </w:tcPr>
          <w:p w14:paraId="25401791" w14:textId="77777777" w:rsidR="00EB2B54" w:rsidRDefault="00EB2B54" w:rsidP="00EB2B54">
            <w:pPr>
              <w:spacing w:after="0"/>
              <w:jc w:val="right"/>
              <w:rPr>
                <w:rFonts w:ascii="Calibri" w:hAnsi="Calibri" w:cs="Calibri"/>
                <w:color w:val="4472C4"/>
              </w:rPr>
            </w:pPr>
            <w:r>
              <w:rPr>
                <w:rFonts w:ascii="Calibri" w:hAnsi="Calibri" w:cs="Calibri"/>
                <w:color w:val="4472C4"/>
              </w:rPr>
              <w:t>10,64%</w:t>
            </w:r>
          </w:p>
        </w:tc>
        <w:tc>
          <w:tcPr>
            <w:tcW w:w="799" w:type="dxa"/>
            <w:shd w:val="clear" w:color="auto" w:fill="auto"/>
            <w:noWrap/>
            <w:vAlign w:val="bottom"/>
            <w:hideMark/>
          </w:tcPr>
          <w:p w14:paraId="26D4EC25" w14:textId="77777777" w:rsidR="00EB2B54" w:rsidRDefault="00EB2B54" w:rsidP="00EB2B54">
            <w:pPr>
              <w:spacing w:after="0"/>
              <w:jc w:val="right"/>
              <w:rPr>
                <w:rFonts w:ascii="Calibri" w:hAnsi="Calibri" w:cs="Calibri"/>
                <w:color w:val="4472C4"/>
              </w:rPr>
            </w:pPr>
            <w:r>
              <w:rPr>
                <w:rFonts w:ascii="Calibri" w:hAnsi="Calibri" w:cs="Calibri"/>
                <w:color w:val="4472C4"/>
              </w:rPr>
              <w:t>10,23%</w:t>
            </w:r>
          </w:p>
        </w:tc>
        <w:tc>
          <w:tcPr>
            <w:tcW w:w="836" w:type="dxa"/>
            <w:shd w:val="clear" w:color="auto" w:fill="auto"/>
            <w:noWrap/>
            <w:vAlign w:val="bottom"/>
            <w:hideMark/>
          </w:tcPr>
          <w:p w14:paraId="51741272" w14:textId="77777777" w:rsidR="00EB2B54" w:rsidRDefault="00EB2B54" w:rsidP="00EB2B54">
            <w:pPr>
              <w:spacing w:after="0"/>
              <w:jc w:val="right"/>
              <w:rPr>
                <w:rFonts w:ascii="Calibri" w:hAnsi="Calibri" w:cs="Calibri"/>
                <w:color w:val="4472C4"/>
              </w:rPr>
            </w:pPr>
            <w:r>
              <w:rPr>
                <w:rFonts w:ascii="Calibri" w:hAnsi="Calibri" w:cs="Calibri"/>
                <w:color w:val="4472C4"/>
              </w:rPr>
              <w:t>10,23%</w:t>
            </w:r>
          </w:p>
        </w:tc>
        <w:tc>
          <w:tcPr>
            <w:tcW w:w="936" w:type="dxa"/>
            <w:shd w:val="clear" w:color="auto" w:fill="auto"/>
            <w:noWrap/>
            <w:vAlign w:val="bottom"/>
            <w:hideMark/>
          </w:tcPr>
          <w:p w14:paraId="6CF4726F" w14:textId="77777777" w:rsidR="00EB2B54" w:rsidRDefault="00EB2B54" w:rsidP="00EB2B54">
            <w:pPr>
              <w:spacing w:after="0"/>
              <w:jc w:val="right"/>
              <w:rPr>
                <w:rFonts w:ascii="Calibri" w:hAnsi="Calibri" w:cs="Calibri"/>
                <w:color w:val="4472C4"/>
              </w:rPr>
            </w:pPr>
            <w:r>
              <w:rPr>
                <w:rFonts w:ascii="Calibri" w:hAnsi="Calibri" w:cs="Calibri"/>
                <w:color w:val="4472C4"/>
              </w:rPr>
              <w:t>10,23%</w:t>
            </w:r>
          </w:p>
        </w:tc>
      </w:tr>
      <w:tr w:rsidR="00EB2B54" w14:paraId="05C5A8AA" w14:textId="77777777" w:rsidTr="00EB2B54">
        <w:trPr>
          <w:trHeight w:val="280"/>
        </w:trPr>
        <w:tc>
          <w:tcPr>
            <w:tcW w:w="3096" w:type="dxa"/>
            <w:shd w:val="clear" w:color="auto" w:fill="auto"/>
            <w:noWrap/>
            <w:vAlign w:val="bottom"/>
            <w:hideMark/>
          </w:tcPr>
          <w:p w14:paraId="68C419EE" w14:textId="77777777" w:rsidR="00EB2B54" w:rsidRDefault="00EB2B54" w:rsidP="00EB2B54">
            <w:pPr>
              <w:spacing w:after="0"/>
              <w:rPr>
                <w:rFonts w:ascii="Calibri" w:hAnsi="Calibri" w:cs="Calibri"/>
                <w:color w:val="000000"/>
              </w:rPr>
            </w:pPr>
            <w:r>
              <w:rPr>
                <w:rFonts w:ascii="Calibri" w:hAnsi="Calibri" w:cs="Calibri"/>
                <w:color w:val="000000"/>
              </w:rPr>
              <w:t>Kahanemise piirmäär</w:t>
            </w:r>
          </w:p>
        </w:tc>
        <w:tc>
          <w:tcPr>
            <w:tcW w:w="799" w:type="dxa"/>
            <w:shd w:val="clear" w:color="auto" w:fill="auto"/>
            <w:noWrap/>
            <w:vAlign w:val="bottom"/>
            <w:hideMark/>
          </w:tcPr>
          <w:p w14:paraId="4623BF5D" w14:textId="77777777" w:rsidR="00EB2B54" w:rsidRDefault="00EB2B54" w:rsidP="00EB2B54">
            <w:pPr>
              <w:spacing w:after="0"/>
              <w:rPr>
                <w:rFonts w:ascii="Calibri" w:hAnsi="Calibri" w:cs="Calibri"/>
                <w:color w:val="000000"/>
              </w:rPr>
            </w:pPr>
          </w:p>
        </w:tc>
        <w:tc>
          <w:tcPr>
            <w:tcW w:w="799" w:type="dxa"/>
            <w:shd w:val="clear" w:color="auto" w:fill="auto"/>
            <w:noWrap/>
            <w:vAlign w:val="bottom"/>
            <w:hideMark/>
          </w:tcPr>
          <w:p w14:paraId="64712EF2" w14:textId="77777777" w:rsidR="00EB2B54" w:rsidRDefault="00EB2B54" w:rsidP="00EB2B54">
            <w:pPr>
              <w:spacing w:after="0"/>
              <w:rPr>
                <w:sz w:val="20"/>
                <w:szCs w:val="20"/>
              </w:rPr>
            </w:pPr>
          </w:p>
        </w:tc>
        <w:tc>
          <w:tcPr>
            <w:tcW w:w="799" w:type="dxa"/>
            <w:shd w:val="clear" w:color="auto" w:fill="auto"/>
            <w:noWrap/>
            <w:vAlign w:val="bottom"/>
            <w:hideMark/>
          </w:tcPr>
          <w:p w14:paraId="6522E3C9" w14:textId="77777777" w:rsidR="00EB2B54" w:rsidRDefault="00EB2B54" w:rsidP="00EB2B54">
            <w:pPr>
              <w:spacing w:after="0"/>
              <w:jc w:val="right"/>
              <w:rPr>
                <w:rFonts w:ascii="Calibri" w:hAnsi="Calibri" w:cs="Calibri"/>
                <w:color w:val="4472C4"/>
              </w:rPr>
            </w:pPr>
            <w:r>
              <w:rPr>
                <w:rFonts w:ascii="Calibri" w:hAnsi="Calibri" w:cs="Calibri"/>
                <w:color w:val="4472C4"/>
              </w:rPr>
              <w:t>1,50%</w:t>
            </w:r>
          </w:p>
        </w:tc>
        <w:tc>
          <w:tcPr>
            <w:tcW w:w="799" w:type="dxa"/>
            <w:shd w:val="clear" w:color="auto" w:fill="auto"/>
            <w:noWrap/>
            <w:vAlign w:val="bottom"/>
            <w:hideMark/>
          </w:tcPr>
          <w:p w14:paraId="0689891D" w14:textId="77777777" w:rsidR="00EB2B54" w:rsidRDefault="00EB2B54" w:rsidP="00EB2B54">
            <w:pPr>
              <w:spacing w:after="0"/>
              <w:jc w:val="right"/>
              <w:rPr>
                <w:rFonts w:ascii="Calibri" w:hAnsi="Calibri" w:cs="Calibri"/>
                <w:color w:val="4472C4"/>
              </w:rPr>
            </w:pPr>
            <w:r>
              <w:rPr>
                <w:rFonts w:ascii="Calibri" w:hAnsi="Calibri" w:cs="Calibri"/>
                <w:color w:val="4472C4"/>
              </w:rPr>
              <w:t>2,00%</w:t>
            </w:r>
          </w:p>
        </w:tc>
        <w:tc>
          <w:tcPr>
            <w:tcW w:w="799" w:type="dxa"/>
            <w:shd w:val="clear" w:color="auto" w:fill="auto"/>
            <w:noWrap/>
            <w:vAlign w:val="bottom"/>
            <w:hideMark/>
          </w:tcPr>
          <w:p w14:paraId="655DD102" w14:textId="77777777" w:rsidR="00EB2B54" w:rsidRDefault="00EB2B54" w:rsidP="00EB2B54">
            <w:pPr>
              <w:spacing w:after="0"/>
              <w:jc w:val="right"/>
              <w:rPr>
                <w:rFonts w:ascii="Calibri" w:hAnsi="Calibri" w:cs="Calibri"/>
                <w:color w:val="4472C4"/>
              </w:rPr>
            </w:pPr>
            <w:r>
              <w:rPr>
                <w:rFonts w:ascii="Calibri" w:hAnsi="Calibri" w:cs="Calibri"/>
                <w:color w:val="4472C4"/>
              </w:rPr>
              <w:t>2,50%</w:t>
            </w:r>
          </w:p>
        </w:tc>
        <w:tc>
          <w:tcPr>
            <w:tcW w:w="836" w:type="dxa"/>
            <w:shd w:val="clear" w:color="auto" w:fill="auto"/>
            <w:noWrap/>
            <w:vAlign w:val="bottom"/>
            <w:hideMark/>
          </w:tcPr>
          <w:p w14:paraId="5B2831C3" w14:textId="77777777" w:rsidR="00EB2B54" w:rsidRDefault="00EB2B54" w:rsidP="00EB2B54">
            <w:pPr>
              <w:spacing w:after="0"/>
              <w:jc w:val="right"/>
              <w:rPr>
                <w:rFonts w:ascii="Calibri" w:hAnsi="Calibri" w:cs="Calibri"/>
                <w:color w:val="4472C4"/>
              </w:rPr>
            </w:pPr>
            <w:r>
              <w:rPr>
                <w:rFonts w:ascii="Calibri" w:hAnsi="Calibri" w:cs="Calibri"/>
                <w:color w:val="4472C4"/>
              </w:rPr>
              <w:t>3,00%</w:t>
            </w:r>
          </w:p>
        </w:tc>
        <w:tc>
          <w:tcPr>
            <w:tcW w:w="936" w:type="dxa"/>
            <w:shd w:val="clear" w:color="auto" w:fill="auto"/>
            <w:noWrap/>
            <w:vAlign w:val="bottom"/>
            <w:hideMark/>
          </w:tcPr>
          <w:p w14:paraId="3009DF3B" w14:textId="77777777" w:rsidR="00EB2B54" w:rsidRDefault="00EB2B54" w:rsidP="00EB2B54">
            <w:pPr>
              <w:spacing w:after="0"/>
              <w:jc w:val="right"/>
              <w:rPr>
                <w:rFonts w:ascii="Calibri" w:hAnsi="Calibri" w:cs="Calibri"/>
                <w:color w:val="4472C4"/>
              </w:rPr>
            </w:pPr>
            <w:r>
              <w:rPr>
                <w:rFonts w:ascii="Calibri" w:hAnsi="Calibri" w:cs="Calibri"/>
                <w:color w:val="4472C4"/>
              </w:rPr>
              <w:t>3,00%</w:t>
            </w:r>
          </w:p>
        </w:tc>
      </w:tr>
    </w:tbl>
    <w:p w14:paraId="35D315D0" w14:textId="77777777" w:rsidR="000B41E5" w:rsidRDefault="000B41E5" w:rsidP="000B41E5">
      <w:pPr>
        <w:spacing w:after="0" w:line="240" w:lineRule="auto"/>
        <w:jc w:val="both"/>
        <w:rPr>
          <w:sz w:val="24"/>
          <w:szCs w:val="24"/>
        </w:rPr>
      </w:pPr>
    </w:p>
    <w:p w14:paraId="7DF89012" w14:textId="77777777" w:rsidR="000B41E5" w:rsidRDefault="000B41E5" w:rsidP="009202FD">
      <w:pPr>
        <w:spacing w:after="0" w:line="240" w:lineRule="auto"/>
        <w:jc w:val="both"/>
        <w:rPr>
          <w:sz w:val="24"/>
          <w:szCs w:val="24"/>
        </w:rPr>
      </w:pPr>
      <w:bookmarkStart w:id="0" w:name="_Hlk151375350"/>
      <w:r w:rsidRPr="00F11C29">
        <w:rPr>
          <w:sz w:val="24"/>
          <w:szCs w:val="24"/>
        </w:rPr>
        <w:t>Tabel 2. KOV-de eelarvetulude muutus allikate lõikes muudatuste rakendamisel</w:t>
      </w:r>
    </w:p>
    <w:p w14:paraId="4E2169CA" w14:textId="77BBBD58" w:rsidR="009202FD" w:rsidRDefault="009202FD" w:rsidP="009202FD">
      <w:pPr>
        <w:spacing w:after="0" w:line="240" w:lineRule="auto"/>
        <w:jc w:val="both"/>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6"/>
        <w:gridCol w:w="776"/>
        <w:gridCol w:w="776"/>
        <w:gridCol w:w="776"/>
        <w:gridCol w:w="776"/>
        <w:gridCol w:w="776"/>
        <w:gridCol w:w="836"/>
        <w:gridCol w:w="936"/>
      </w:tblGrid>
      <w:tr w:rsidR="009202FD" w:rsidRPr="009202FD" w14:paraId="77A91BE7" w14:textId="77777777" w:rsidTr="009202FD">
        <w:trPr>
          <w:trHeight w:val="280"/>
        </w:trPr>
        <w:tc>
          <w:tcPr>
            <w:tcW w:w="3096" w:type="dxa"/>
            <w:shd w:val="clear" w:color="auto" w:fill="auto"/>
            <w:noWrap/>
            <w:vAlign w:val="bottom"/>
            <w:hideMark/>
          </w:tcPr>
          <w:p w14:paraId="4DCDA4A6" w14:textId="777B3EB4" w:rsidR="009202FD" w:rsidRPr="009202FD" w:rsidRDefault="009202FD" w:rsidP="009202FD">
            <w:pPr>
              <w:spacing w:after="0" w:line="240" w:lineRule="auto"/>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KOV tulud muutus, mln eurot</w:t>
            </w:r>
          </w:p>
        </w:tc>
        <w:tc>
          <w:tcPr>
            <w:tcW w:w="776" w:type="dxa"/>
            <w:shd w:val="clear" w:color="auto" w:fill="auto"/>
            <w:noWrap/>
            <w:vAlign w:val="bottom"/>
            <w:hideMark/>
          </w:tcPr>
          <w:p w14:paraId="65325A5B" w14:textId="77777777" w:rsidR="009202FD" w:rsidRPr="009202FD" w:rsidRDefault="009202FD" w:rsidP="009202FD">
            <w:pPr>
              <w:spacing w:after="0" w:line="240" w:lineRule="auto"/>
              <w:jc w:val="center"/>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2023</w:t>
            </w:r>
          </w:p>
        </w:tc>
        <w:tc>
          <w:tcPr>
            <w:tcW w:w="776" w:type="dxa"/>
            <w:shd w:val="clear" w:color="auto" w:fill="auto"/>
            <w:noWrap/>
            <w:vAlign w:val="bottom"/>
            <w:hideMark/>
          </w:tcPr>
          <w:p w14:paraId="57C13E08" w14:textId="77777777" w:rsidR="009202FD" w:rsidRPr="009202FD" w:rsidRDefault="009202FD" w:rsidP="009202FD">
            <w:pPr>
              <w:spacing w:after="0" w:line="240" w:lineRule="auto"/>
              <w:jc w:val="center"/>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2024</w:t>
            </w:r>
          </w:p>
        </w:tc>
        <w:tc>
          <w:tcPr>
            <w:tcW w:w="776" w:type="dxa"/>
            <w:shd w:val="clear" w:color="auto" w:fill="auto"/>
            <w:noWrap/>
            <w:vAlign w:val="bottom"/>
            <w:hideMark/>
          </w:tcPr>
          <w:p w14:paraId="2B75A51B" w14:textId="77777777" w:rsidR="009202FD" w:rsidRPr="009202FD" w:rsidRDefault="009202FD" w:rsidP="009202FD">
            <w:pPr>
              <w:spacing w:after="0" w:line="240" w:lineRule="auto"/>
              <w:jc w:val="center"/>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2025</w:t>
            </w:r>
          </w:p>
        </w:tc>
        <w:tc>
          <w:tcPr>
            <w:tcW w:w="776" w:type="dxa"/>
            <w:shd w:val="clear" w:color="auto" w:fill="auto"/>
            <w:noWrap/>
            <w:vAlign w:val="bottom"/>
            <w:hideMark/>
          </w:tcPr>
          <w:p w14:paraId="5B4BBB5F" w14:textId="77777777" w:rsidR="009202FD" w:rsidRPr="009202FD" w:rsidRDefault="009202FD" w:rsidP="009202FD">
            <w:pPr>
              <w:spacing w:after="0" w:line="240" w:lineRule="auto"/>
              <w:jc w:val="center"/>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2026</w:t>
            </w:r>
          </w:p>
        </w:tc>
        <w:tc>
          <w:tcPr>
            <w:tcW w:w="776" w:type="dxa"/>
            <w:shd w:val="clear" w:color="auto" w:fill="auto"/>
            <w:noWrap/>
            <w:vAlign w:val="bottom"/>
            <w:hideMark/>
          </w:tcPr>
          <w:p w14:paraId="03601F0E" w14:textId="77777777" w:rsidR="009202FD" w:rsidRPr="009202FD" w:rsidRDefault="009202FD" w:rsidP="009202FD">
            <w:pPr>
              <w:spacing w:after="0" w:line="240" w:lineRule="auto"/>
              <w:jc w:val="center"/>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2027</w:t>
            </w:r>
          </w:p>
        </w:tc>
        <w:tc>
          <w:tcPr>
            <w:tcW w:w="836" w:type="dxa"/>
            <w:shd w:val="clear" w:color="auto" w:fill="auto"/>
            <w:noWrap/>
            <w:vAlign w:val="bottom"/>
            <w:hideMark/>
          </w:tcPr>
          <w:p w14:paraId="19941303" w14:textId="77777777" w:rsidR="009202FD" w:rsidRPr="009202FD" w:rsidRDefault="009202FD" w:rsidP="009202FD">
            <w:pPr>
              <w:spacing w:after="0" w:line="240" w:lineRule="auto"/>
              <w:jc w:val="center"/>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2028</w:t>
            </w:r>
          </w:p>
        </w:tc>
        <w:tc>
          <w:tcPr>
            <w:tcW w:w="936" w:type="dxa"/>
            <w:shd w:val="clear" w:color="auto" w:fill="auto"/>
            <w:noWrap/>
            <w:vAlign w:val="bottom"/>
            <w:hideMark/>
          </w:tcPr>
          <w:p w14:paraId="60AA1309" w14:textId="77777777" w:rsidR="009202FD" w:rsidRPr="009202FD" w:rsidRDefault="009202FD" w:rsidP="009202FD">
            <w:pPr>
              <w:spacing w:after="0" w:line="240" w:lineRule="auto"/>
              <w:jc w:val="center"/>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2029</w:t>
            </w:r>
          </w:p>
        </w:tc>
      </w:tr>
      <w:tr w:rsidR="009202FD" w:rsidRPr="009202FD" w14:paraId="5A196AB7" w14:textId="77777777" w:rsidTr="009202FD">
        <w:trPr>
          <w:trHeight w:val="280"/>
        </w:trPr>
        <w:tc>
          <w:tcPr>
            <w:tcW w:w="3096" w:type="dxa"/>
            <w:shd w:val="clear" w:color="auto" w:fill="auto"/>
            <w:noWrap/>
            <w:vAlign w:val="bottom"/>
            <w:hideMark/>
          </w:tcPr>
          <w:p w14:paraId="2DA072BE"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FITM pensionitulu</w:t>
            </w:r>
          </w:p>
        </w:tc>
        <w:tc>
          <w:tcPr>
            <w:tcW w:w="776" w:type="dxa"/>
            <w:shd w:val="clear" w:color="auto" w:fill="auto"/>
            <w:noWrap/>
            <w:vAlign w:val="bottom"/>
            <w:hideMark/>
          </w:tcPr>
          <w:p w14:paraId="7F5EA661"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p>
        </w:tc>
        <w:tc>
          <w:tcPr>
            <w:tcW w:w="776" w:type="dxa"/>
            <w:shd w:val="clear" w:color="auto" w:fill="auto"/>
            <w:noWrap/>
            <w:vAlign w:val="bottom"/>
            <w:hideMark/>
          </w:tcPr>
          <w:p w14:paraId="6D21E2C1"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776" w:type="dxa"/>
            <w:shd w:val="clear" w:color="auto" w:fill="auto"/>
            <w:noWrap/>
            <w:vAlign w:val="bottom"/>
            <w:hideMark/>
          </w:tcPr>
          <w:p w14:paraId="4804E858"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96,0</w:t>
            </w:r>
          </w:p>
        </w:tc>
        <w:tc>
          <w:tcPr>
            <w:tcW w:w="776" w:type="dxa"/>
            <w:shd w:val="clear" w:color="auto" w:fill="auto"/>
            <w:noWrap/>
            <w:vAlign w:val="bottom"/>
            <w:hideMark/>
          </w:tcPr>
          <w:p w14:paraId="7F5256E6"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208,4</w:t>
            </w:r>
          </w:p>
        </w:tc>
        <w:tc>
          <w:tcPr>
            <w:tcW w:w="776" w:type="dxa"/>
            <w:shd w:val="clear" w:color="auto" w:fill="auto"/>
            <w:noWrap/>
            <w:vAlign w:val="bottom"/>
            <w:hideMark/>
          </w:tcPr>
          <w:p w14:paraId="14DCBB14"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288,5</w:t>
            </w:r>
          </w:p>
        </w:tc>
        <w:tc>
          <w:tcPr>
            <w:tcW w:w="836" w:type="dxa"/>
            <w:shd w:val="clear" w:color="auto" w:fill="auto"/>
            <w:noWrap/>
            <w:vAlign w:val="bottom"/>
            <w:hideMark/>
          </w:tcPr>
          <w:p w14:paraId="7301BC1D"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302,9</w:t>
            </w:r>
          </w:p>
        </w:tc>
        <w:tc>
          <w:tcPr>
            <w:tcW w:w="936" w:type="dxa"/>
            <w:shd w:val="clear" w:color="auto" w:fill="auto"/>
            <w:noWrap/>
            <w:vAlign w:val="bottom"/>
            <w:hideMark/>
          </w:tcPr>
          <w:p w14:paraId="249A9A2D"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315,0</w:t>
            </w:r>
          </w:p>
        </w:tc>
      </w:tr>
      <w:tr w:rsidR="009202FD" w:rsidRPr="009202FD" w14:paraId="4CB076D9" w14:textId="77777777" w:rsidTr="009202FD">
        <w:trPr>
          <w:trHeight w:val="280"/>
        </w:trPr>
        <w:tc>
          <w:tcPr>
            <w:tcW w:w="3096" w:type="dxa"/>
            <w:shd w:val="clear" w:color="auto" w:fill="auto"/>
            <w:noWrap/>
            <w:vAlign w:val="bottom"/>
            <w:hideMark/>
          </w:tcPr>
          <w:p w14:paraId="1C1FDB6E"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FITM muu tulu</w:t>
            </w:r>
          </w:p>
        </w:tc>
        <w:tc>
          <w:tcPr>
            <w:tcW w:w="776" w:type="dxa"/>
            <w:shd w:val="clear" w:color="auto" w:fill="auto"/>
            <w:noWrap/>
            <w:vAlign w:val="bottom"/>
            <w:hideMark/>
          </w:tcPr>
          <w:p w14:paraId="0D31C27C"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776" w:type="dxa"/>
            <w:shd w:val="clear" w:color="auto" w:fill="auto"/>
            <w:noWrap/>
            <w:vAlign w:val="bottom"/>
            <w:hideMark/>
          </w:tcPr>
          <w:p w14:paraId="48FED960"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776" w:type="dxa"/>
            <w:shd w:val="clear" w:color="auto" w:fill="auto"/>
            <w:noWrap/>
            <w:vAlign w:val="bottom"/>
            <w:hideMark/>
          </w:tcPr>
          <w:p w14:paraId="73E618E7"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-96,3</w:t>
            </w:r>
          </w:p>
        </w:tc>
        <w:tc>
          <w:tcPr>
            <w:tcW w:w="776" w:type="dxa"/>
            <w:shd w:val="clear" w:color="auto" w:fill="auto"/>
            <w:noWrap/>
            <w:vAlign w:val="bottom"/>
            <w:hideMark/>
          </w:tcPr>
          <w:p w14:paraId="5D565EBC"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-209,5</w:t>
            </w:r>
          </w:p>
        </w:tc>
        <w:tc>
          <w:tcPr>
            <w:tcW w:w="776" w:type="dxa"/>
            <w:shd w:val="clear" w:color="auto" w:fill="auto"/>
            <w:noWrap/>
            <w:vAlign w:val="bottom"/>
            <w:hideMark/>
          </w:tcPr>
          <w:p w14:paraId="557D4636"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-289,9</w:t>
            </w:r>
          </w:p>
        </w:tc>
        <w:tc>
          <w:tcPr>
            <w:tcW w:w="836" w:type="dxa"/>
            <w:shd w:val="clear" w:color="auto" w:fill="auto"/>
            <w:noWrap/>
            <w:vAlign w:val="bottom"/>
            <w:hideMark/>
          </w:tcPr>
          <w:p w14:paraId="41FB5F62"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-301,5</w:t>
            </w:r>
          </w:p>
        </w:tc>
        <w:tc>
          <w:tcPr>
            <w:tcW w:w="936" w:type="dxa"/>
            <w:shd w:val="clear" w:color="auto" w:fill="auto"/>
            <w:noWrap/>
            <w:vAlign w:val="bottom"/>
            <w:hideMark/>
          </w:tcPr>
          <w:p w14:paraId="6386FD4E"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-312,9</w:t>
            </w:r>
          </w:p>
        </w:tc>
      </w:tr>
      <w:tr w:rsidR="009202FD" w:rsidRPr="009202FD" w14:paraId="1EDCE53E" w14:textId="77777777" w:rsidTr="009202FD">
        <w:trPr>
          <w:trHeight w:val="280"/>
        </w:trPr>
        <w:tc>
          <w:tcPr>
            <w:tcW w:w="3096" w:type="dxa"/>
            <w:shd w:val="clear" w:color="auto" w:fill="auto"/>
            <w:noWrap/>
            <w:vAlign w:val="bottom"/>
            <w:hideMark/>
          </w:tcPr>
          <w:p w14:paraId="28CC30AF"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JITM</w:t>
            </w:r>
          </w:p>
        </w:tc>
        <w:tc>
          <w:tcPr>
            <w:tcW w:w="776" w:type="dxa"/>
            <w:shd w:val="clear" w:color="auto" w:fill="auto"/>
            <w:noWrap/>
            <w:vAlign w:val="bottom"/>
            <w:hideMark/>
          </w:tcPr>
          <w:p w14:paraId="3C7478D9"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p>
        </w:tc>
        <w:tc>
          <w:tcPr>
            <w:tcW w:w="776" w:type="dxa"/>
            <w:shd w:val="clear" w:color="auto" w:fill="auto"/>
            <w:noWrap/>
            <w:vAlign w:val="bottom"/>
            <w:hideMark/>
          </w:tcPr>
          <w:p w14:paraId="5B4CFD6A" w14:textId="77777777" w:rsidR="009202FD" w:rsidRPr="009202FD" w:rsidRDefault="009202FD" w:rsidP="009202FD">
            <w:pPr>
              <w:spacing w:after="0" w:line="240" w:lineRule="auto"/>
              <w:rPr>
                <w:rFonts w:ascii="Times New Roman" w:eastAsia="Times New Roman" w:hAnsi="Times New Roman" w:cs="Times New Roman"/>
                <w:kern w:val="0"/>
                <w:sz w:val="20"/>
                <w:szCs w:val="20"/>
                <w:lang w:eastAsia="et-EE"/>
                <w14:ligatures w14:val="none"/>
              </w:rPr>
            </w:pPr>
          </w:p>
        </w:tc>
        <w:tc>
          <w:tcPr>
            <w:tcW w:w="776" w:type="dxa"/>
            <w:shd w:val="clear" w:color="auto" w:fill="auto"/>
            <w:noWrap/>
            <w:vAlign w:val="bottom"/>
            <w:hideMark/>
          </w:tcPr>
          <w:p w14:paraId="33A2AA85"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776" w:type="dxa"/>
            <w:shd w:val="clear" w:color="auto" w:fill="auto"/>
            <w:noWrap/>
            <w:vAlign w:val="bottom"/>
            <w:hideMark/>
          </w:tcPr>
          <w:p w14:paraId="02747016"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776" w:type="dxa"/>
            <w:shd w:val="clear" w:color="auto" w:fill="auto"/>
            <w:noWrap/>
            <w:vAlign w:val="bottom"/>
            <w:hideMark/>
          </w:tcPr>
          <w:p w14:paraId="47FC9F35"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836" w:type="dxa"/>
            <w:shd w:val="clear" w:color="auto" w:fill="auto"/>
            <w:noWrap/>
            <w:vAlign w:val="bottom"/>
            <w:hideMark/>
          </w:tcPr>
          <w:p w14:paraId="41749C55"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936" w:type="dxa"/>
            <w:shd w:val="clear" w:color="auto" w:fill="auto"/>
            <w:noWrap/>
            <w:vAlign w:val="bottom"/>
            <w:hideMark/>
          </w:tcPr>
          <w:p w14:paraId="319E3ED3"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r>
      <w:tr w:rsidR="009202FD" w:rsidRPr="009202FD" w14:paraId="1EB33BFD" w14:textId="77777777" w:rsidTr="009202FD">
        <w:trPr>
          <w:trHeight w:val="280"/>
        </w:trPr>
        <w:tc>
          <w:tcPr>
            <w:tcW w:w="3096" w:type="dxa"/>
            <w:shd w:val="clear" w:color="auto" w:fill="auto"/>
            <w:noWrap/>
            <w:vAlign w:val="bottom"/>
            <w:hideMark/>
          </w:tcPr>
          <w:p w14:paraId="1B534508"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Tasandusfond</w:t>
            </w:r>
          </w:p>
        </w:tc>
        <w:tc>
          <w:tcPr>
            <w:tcW w:w="776" w:type="dxa"/>
            <w:shd w:val="clear" w:color="auto" w:fill="auto"/>
            <w:noWrap/>
            <w:vAlign w:val="bottom"/>
            <w:hideMark/>
          </w:tcPr>
          <w:p w14:paraId="648BFEA6"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776" w:type="dxa"/>
            <w:shd w:val="clear" w:color="auto" w:fill="auto"/>
            <w:noWrap/>
            <w:vAlign w:val="bottom"/>
            <w:hideMark/>
          </w:tcPr>
          <w:p w14:paraId="69B50FBA"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0,0</w:t>
            </w:r>
          </w:p>
        </w:tc>
        <w:tc>
          <w:tcPr>
            <w:tcW w:w="776" w:type="dxa"/>
            <w:shd w:val="clear" w:color="auto" w:fill="auto"/>
            <w:noWrap/>
            <w:vAlign w:val="bottom"/>
            <w:hideMark/>
          </w:tcPr>
          <w:p w14:paraId="62294236"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-6,0</w:t>
            </w:r>
          </w:p>
        </w:tc>
        <w:tc>
          <w:tcPr>
            <w:tcW w:w="776" w:type="dxa"/>
            <w:shd w:val="clear" w:color="auto" w:fill="auto"/>
            <w:noWrap/>
            <w:vAlign w:val="bottom"/>
            <w:hideMark/>
          </w:tcPr>
          <w:p w14:paraId="63DE042E"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-13,2</w:t>
            </w:r>
          </w:p>
        </w:tc>
        <w:tc>
          <w:tcPr>
            <w:tcW w:w="776" w:type="dxa"/>
            <w:shd w:val="clear" w:color="auto" w:fill="auto"/>
            <w:noWrap/>
            <w:vAlign w:val="bottom"/>
            <w:hideMark/>
          </w:tcPr>
          <w:p w14:paraId="57534E7F"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-18,6</w:t>
            </w:r>
          </w:p>
        </w:tc>
        <w:tc>
          <w:tcPr>
            <w:tcW w:w="836" w:type="dxa"/>
            <w:shd w:val="clear" w:color="auto" w:fill="auto"/>
            <w:noWrap/>
            <w:vAlign w:val="bottom"/>
            <w:hideMark/>
          </w:tcPr>
          <w:p w14:paraId="31F74CA8"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-15,6</w:t>
            </w:r>
          </w:p>
        </w:tc>
        <w:tc>
          <w:tcPr>
            <w:tcW w:w="936" w:type="dxa"/>
            <w:shd w:val="clear" w:color="auto" w:fill="auto"/>
            <w:noWrap/>
            <w:vAlign w:val="bottom"/>
            <w:hideMark/>
          </w:tcPr>
          <w:p w14:paraId="77449FCC"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-16,7</w:t>
            </w:r>
          </w:p>
        </w:tc>
      </w:tr>
      <w:tr w:rsidR="009202FD" w:rsidRPr="009202FD" w14:paraId="2BEE4D29" w14:textId="77777777" w:rsidTr="009202FD">
        <w:trPr>
          <w:trHeight w:val="280"/>
        </w:trPr>
        <w:tc>
          <w:tcPr>
            <w:tcW w:w="3096" w:type="dxa"/>
            <w:shd w:val="clear" w:color="auto" w:fill="auto"/>
            <w:noWrap/>
            <w:vAlign w:val="bottom"/>
            <w:hideMark/>
          </w:tcPr>
          <w:p w14:paraId="5D111B85" w14:textId="77777777" w:rsidR="009202FD" w:rsidRPr="009202FD" w:rsidRDefault="009202FD" w:rsidP="009202FD">
            <w:pPr>
              <w:spacing w:after="0" w:line="240" w:lineRule="auto"/>
              <w:rPr>
                <w:rFonts w:ascii="Calibri" w:eastAsia="Times New Roman" w:hAnsi="Calibri" w:cs="Calibri"/>
                <w:kern w:val="0"/>
                <w:lang w:eastAsia="et-EE"/>
                <w14:ligatures w14:val="none"/>
              </w:rPr>
            </w:pPr>
            <w:r w:rsidRPr="009202FD">
              <w:rPr>
                <w:rFonts w:ascii="Calibri" w:eastAsia="Times New Roman" w:hAnsi="Calibri" w:cs="Calibri"/>
                <w:kern w:val="0"/>
                <w:lang w:eastAsia="et-EE"/>
                <w14:ligatures w14:val="none"/>
              </w:rPr>
              <w:t>Kahanemise piirmäär</w:t>
            </w:r>
          </w:p>
        </w:tc>
        <w:tc>
          <w:tcPr>
            <w:tcW w:w="776" w:type="dxa"/>
            <w:shd w:val="clear" w:color="auto" w:fill="auto"/>
            <w:noWrap/>
            <w:vAlign w:val="bottom"/>
            <w:hideMark/>
          </w:tcPr>
          <w:p w14:paraId="7459A983" w14:textId="77777777" w:rsidR="009202FD" w:rsidRPr="009202FD" w:rsidRDefault="009202FD" w:rsidP="009202FD">
            <w:pPr>
              <w:spacing w:after="0" w:line="240" w:lineRule="auto"/>
              <w:rPr>
                <w:rFonts w:ascii="Calibri" w:eastAsia="Times New Roman" w:hAnsi="Calibri" w:cs="Calibri"/>
                <w:kern w:val="0"/>
                <w:lang w:eastAsia="et-EE"/>
                <w14:ligatures w14:val="none"/>
              </w:rPr>
            </w:pPr>
          </w:p>
        </w:tc>
        <w:tc>
          <w:tcPr>
            <w:tcW w:w="776" w:type="dxa"/>
            <w:shd w:val="clear" w:color="auto" w:fill="auto"/>
            <w:noWrap/>
            <w:vAlign w:val="bottom"/>
            <w:hideMark/>
          </w:tcPr>
          <w:p w14:paraId="2EC8EB85" w14:textId="77777777" w:rsidR="009202FD" w:rsidRPr="009202FD" w:rsidRDefault="009202FD" w:rsidP="009202FD">
            <w:pPr>
              <w:spacing w:after="0" w:line="240" w:lineRule="auto"/>
              <w:rPr>
                <w:rFonts w:ascii="Times New Roman" w:eastAsia="Times New Roman" w:hAnsi="Times New Roman" w:cs="Times New Roman"/>
                <w:kern w:val="0"/>
                <w:sz w:val="20"/>
                <w:szCs w:val="20"/>
                <w:lang w:eastAsia="et-EE"/>
                <w14:ligatures w14:val="none"/>
              </w:rPr>
            </w:pPr>
          </w:p>
        </w:tc>
        <w:tc>
          <w:tcPr>
            <w:tcW w:w="776" w:type="dxa"/>
            <w:shd w:val="clear" w:color="auto" w:fill="auto"/>
            <w:noWrap/>
            <w:vAlign w:val="bottom"/>
            <w:hideMark/>
          </w:tcPr>
          <w:p w14:paraId="6D001A91"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2,3</w:t>
            </w:r>
          </w:p>
        </w:tc>
        <w:tc>
          <w:tcPr>
            <w:tcW w:w="776" w:type="dxa"/>
            <w:shd w:val="clear" w:color="auto" w:fill="auto"/>
            <w:noWrap/>
            <w:vAlign w:val="bottom"/>
            <w:hideMark/>
          </w:tcPr>
          <w:p w14:paraId="380810EE"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10,2</w:t>
            </w:r>
          </w:p>
        </w:tc>
        <w:tc>
          <w:tcPr>
            <w:tcW w:w="776" w:type="dxa"/>
            <w:shd w:val="clear" w:color="auto" w:fill="auto"/>
            <w:noWrap/>
            <w:vAlign w:val="bottom"/>
            <w:hideMark/>
          </w:tcPr>
          <w:p w14:paraId="287E55CD"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16,0</w:t>
            </w:r>
          </w:p>
        </w:tc>
        <w:tc>
          <w:tcPr>
            <w:tcW w:w="836" w:type="dxa"/>
            <w:shd w:val="clear" w:color="auto" w:fill="auto"/>
            <w:noWrap/>
            <w:vAlign w:val="bottom"/>
            <w:hideMark/>
          </w:tcPr>
          <w:p w14:paraId="11AE5D10"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10,2</w:t>
            </w:r>
          </w:p>
        </w:tc>
        <w:tc>
          <w:tcPr>
            <w:tcW w:w="936" w:type="dxa"/>
            <w:shd w:val="clear" w:color="auto" w:fill="auto"/>
            <w:noWrap/>
            <w:vAlign w:val="bottom"/>
            <w:hideMark/>
          </w:tcPr>
          <w:p w14:paraId="6934DC24"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10,6</w:t>
            </w:r>
          </w:p>
        </w:tc>
      </w:tr>
      <w:tr w:rsidR="009202FD" w:rsidRPr="009202FD" w14:paraId="47DCA044" w14:textId="77777777" w:rsidTr="009202FD">
        <w:trPr>
          <w:trHeight w:val="280"/>
        </w:trPr>
        <w:tc>
          <w:tcPr>
            <w:tcW w:w="3096" w:type="dxa"/>
            <w:shd w:val="clear" w:color="auto" w:fill="auto"/>
            <w:noWrap/>
            <w:vAlign w:val="bottom"/>
            <w:hideMark/>
          </w:tcPr>
          <w:p w14:paraId="7012EFF0"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Reserv</w:t>
            </w:r>
          </w:p>
        </w:tc>
        <w:tc>
          <w:tcPr>
            <w:tcW w:w="776" w:type="dxa"/>
            <w:shd w:val="clear" w:color="auto" w:fill="auto"/>
            <w:noWrap/>
            <w:vAlign w:val="bottom"/>
            <w:hideMark/>
          </w:tcPr>
          <w:p w14:paraId="218BC66C" w14:textId="77777777" w:rsidR="009202FD" w:rsidRPr="009202FD" w:rsidRDefault="009202FD" w:rsidP="009202FD">
            <w:pPr>
              <w:spacing w:after="0" w:line="240" w:lineRule="auto"/>
              <w:rPr>
                <w:rFonts w:ascii="Calibri" w:eastAsia="Times New Roman" w:hAnsi="Calibri" w:cs="Calibri"/>
                <w:color w:val="000000"/>
                <w:kern w:val="0"/>
                <w:lang w:eastAsia="et-EE"/>
                <w14:ligatures w14:val="none"/>
              </w:rPr>
            </w:pPr>
          </w:p>
        </w:tc>
        <w:tc>
          <w:tcPr>
            <w:tcW w:w="776" w:type="dxa"/>
            <w:shd w:val="clear" w:color="auto" w:fill="auto"/>
            <w:noWrap/>
            <w:vAlign w:val="bottom"/>
            <w:hideMark/>
          </w:tcPr>
          <w:p w14:paraId="0A47D702" w14:textId="77777777" w:rsidR="009202FD" w:rsidRPr="009202FD" w:rsidRDefault="009202FD" w:rsidP="009202FD">
            <w:pPr>
              <w:spacing w:after="0" w:line="240" w:lineRule="auto"/>
              <w:rPr>
                <w:rFonts w:ascii="Times New Roman" w:eastAsia="Times New Roman" w:hAnsi="Times New Roman" w:cs="Times New Roman"/>
                <w:kern w:val="0"/>
                <w:sz w:val="20"/>
                <w:szCs w:val="20"/>
                <w:lang w:eastAsia="et-EE"/>
                <w14:ligatures w14:val="none"/>
              </w:rPr>
            </w:pPr>
          </w:p>
        </w:tc>
        <w:tc>
          <w:tcPr>
            <w:tcW w:w="776" w:type="dxa"/>
            <w:shd w:val="clear" w:color="auto" w:fill="auto"/>
            <w:noWrap/>
            <w:vAlign w:val="bottom"/>
            <w:hideMark/>
          </w:tcPr>
          <w:p w14:paraId="01101CEE"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4,0</w:t>
            </w:r>
          </w:p>
        </w:tc>
        <w:tc>
          <w:tcPr>
            <w:tcW w:w="776" w:type="dxa"/>
            <w:shd w:val="clear" w:color="auto" w:fill="auto"/>
            <w:noWrap/>
            <w:vAlign w:val="bottom"/>
            <w:hideMark/>
          </w:tcPr>
          <w:p w14:paraId="62328896"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4,0</w:t>
            </w:r>
          </w:p>
        </w:tc>
        <w:tc>
          <w:tcPr>
            <w:tcW w:w="776" w:type="dxa"/>
            <w:shd w:val="clear" w:color="auto" w:fill="auto"/>
            <w:noWrap/>
            <w:vAlign w:val="bottom"/>
            <w:hideMark/>
          </w:tcPr>
          <w:p w14:paraId="47AED030"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4,0</w:t>
            </w:r>
          </w:p>
        </w:tc>
        <w:tc>
          <w:tcPr>
            <w:tcW w:w="836" w:type="dxa"/>
            <w:shd w:val="clear" w:color="auto" w:fill="auto"/>
            <w:noWrap/>
            <w:vAlign w:val="bottom"/>
            <w:hideMark/>
          </w:tcPr>
          <w:p w14:paraId="1875A3BF"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4,0</w:t>
            </w:r>
          </w:p>
        </w:tc>
        <w:tc>
          <w:tcPr>
            <w:tcW w:w="936" w:type="dxa"/>
            <w:shd w:val="clear" w:color="auto" w:fill="auto"/>
            <w:noWrap/>
            <w:vAlign w:val="bottom"/>
            <w:hideMark/>
          </w:tcPr>
          <w:p w14:paraId="741795D9" w14:textId="77777777" w:rsidR="009202FD" w:rsidRPr="009202FD" w:rsidRDefault="009202FD" w:rsidP="009202FD">
            <w:pPr>
              <w:spacing w:after="0" w:line="240" w:lineRule="auto"/>
              <w:jc w:val="right"/>
              <w:rPr>
                <w:rFonts w:ascii="Calibri" w:eastAsia="Times New Roman" w:hAnsi="Calibri" w:cs="Calibri"/>
                <w:color w:val="000000"/>
                <w:kern w:val="0"/>
                <w:lang w:eastAsia="et-EE"/>
                <w14:ligatures w14:val="none"/>
              </w:rPr>
            </w:pPr>
            <w:r w:rsidRPr="009202FD">
              <w:rPr>
                <w:rFonts w:ascii="Calibri" w:eastAsia="Times New Roman" w:hAnsi="Calibri" w:cs="Calibri"/>
                <w:color w:val="000000"/>
                <w:kern w:val="0"/>
                <w:lang w:eastAsia="et-EE"/>
                <w14:ligatures w14:val="none"/>
              </w:rPr>
              <w:t>4,0</w:t>
            </w:r>
          </w:p>
        </w:tc>
      </w:tr>
      <w:tr w:rsidR="009202FD" w:rsidRPr="009202FD" w14:paraId="4F5D6A3D" w14:textId="77777777" w:rsidTr="009202FD">
        <w:trPr>
          <w:trHeight w:val="280"/>
        </w:trPr>
        <w:tc>
          <w:tcPr>
            <w:tcW w:w="3096" w:type="dxa"/>
            <w:shd w:val="clear" w:color="auto" w:fill="auto"/>
            <w:noWrap/>
            <w:vAlign w:val="bottom"/>
            <w:hideMark/>
          </w:tcPr>
          <w:p w14:paraId="75FD230C" w14:textId="77777777" w:rsidR="009202FD" w:rsidRPr="009202FD" w:rsidRDefault="009202FD" w:rsidP="009202FD">
            <w:pPr>
              <w:spacing w:after="0" w:line="240" w:lineRule="auto"/>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KOKKU</w:t>
            </w:r>
          </w:p>
        </w:tc>
        <w:tc>
          <w:tcPr>
            <w:tcW w:w="776" w:type="dxa"/>
            <w:shd w:val="clear" w:color="auto" w:fill="auto"/>
            <w:noWrap/>
            <w:vAlign w:val="bottom"/>
            <w:hideMark/>
          </w:tcPr>
          <w:p w14:paraId="0B36751B" w14:textId="77777777" w:rsidR="009202FD" w:rsidRPr="009202FD" w:rsidRDefault="009202FD" w:rsidP="009202FD">
            <w:pPr>
              <w:spacing w:after="0" w:line="240" w:lineRule="auto"/>
              <w:jc w:val="right"/>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0,0</w:t>
            </w:r>
          </w:p>
        </w:tc>
        <w:tc>
          <w:tcPr>
            <w:tcW w:w="776" w:type="dxa"/>
            <w:shd w:val="clear" w:color="auto" w:fill="auto"/>
            <w:noWrap/>
            <w:vAlign w:val="bottom"/>
            <w:hideMark/>
          </w:tcPr>
          <w:p w14:paraId="43373618" w14:textId="77777777" w:rsidR="009202FD" w:rsidRPr="009202FD" w:rsidRDefault="009202FD" w:rsidP="009202FD">
            <w:pPr>
              <w:spacing w:after="0" w:line="240" w:lineRule="auto"/>
              <w:jc w:val="right"/>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0,0</w:t>
            </w:r>
          </w:p>
        </w:tc>
        <w:tc>
          <w:tcPr>
            <w:tcW w:w="776" w:type="dxa"/>
            <w:shd w:val="clear" w:color="auto" w:fill="auto"/>
            <w:noWrap/>
            <w:vAlign w:val="bottom"/>
            <w:hideMark/>
          </w:tcPr>
          <w:p w14:paraId="382313C8" w14:textId="77777777" w:rsidR="009202FD" w:rsidRPr="009202FD" w:rsidRDefault="009202FD" w:rsidP="009202FD">
            <w:pPr>
              <w:spacing w:after="0" w:line="240" w:lineRule="auto"/>
              <w:jc w:val="right"/>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0,0</w:t>
            </w:r>
          </w:p>
        </w:tc>
        <w:tc>
          <w:tcPr>
            <w:tcW w:w="776" w:type="dxa"/>
            <w:shd w:val="clear" w:color="auto" w:fill="auto"/>
            <w:noWrap/>
            <w:vAlign w:val="bottom"/>
            <w:hideMark/>
          </w:tcPr>
          <w:p w14:paraId="34BAAA10" w14:textId="77777777" w:rsidR="009202FD" w:rsidRPr="009202FD" w:rsidRDefault="009202FD" w:rsidP="009202FD">
            <w:pPr>
              <w:spacing w:after="0" w:line="240" w:lineRule="auto"/>
              <w:jc w:val="right"/>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0,0</w:t>
            </w:r>
          </w:p>
        </w:tc>
        <w:tc>
          <w:tcPr>
            <w:tcW w:w="776" w:type="dxa"/>
            <w:shd w:val="clear" w:color="auto" w:fill="auto"/>
            <w:noWrap/>
            <w:vAlign w:val="bottom"/>
            <w:hideMark/>
          </w:tcPr>
          <w:p w14:paraId="781AE972" w14:textId="77777777" w:rsidR="009202FD" w:rsidRPr="009202FD" w:rsidRDefault="009202FD" w:rsidP="009202FD">
            <w:pPr>
              <w:spacing w:after="0" w:line="240" w:lineRule="auto"/>
              <w:jc w:val="right"/>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0,0</w:t>
            </w:r>
          </w:p>
        </w:tc>
        <w:tc>
          <w:tcPr>
            <w:tcW w:w="836" w:type="dxa"/>
            <w:shd w:val="clear" w:color="auto" w:fill="auto"/>
            <w:noWrap/>
            <w:vAlign w:val="bottom"/>
            <w:hideMark/>
          </w:tcPr>
          <w:p w14:paraId="3B7ABF1D" w14:textId="77777777" w:rsidR="009202FD" w:rsidRPr="009202FD" w:rsidRDefault="009202FD" w:rsidP="009202FD">
            <w:pPr>
              <w:spacing w:after="0" w:line="240" w:lineRule="auto"/>
              <w:jc w:val="right"/>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0,0</w:t>
            </w:r>
          </w:p>
        </w:tc>
        <w:tc>
          <w:tcPr>
            <w:tcW w:w="936" w:type="dxa"/>
            <w:shd w:val="clear" w:color="auto" w:fill="auto"/>
            <w:noWrap/>
            <w:vAlign w:val="bottom"/>
            <w:hideMark/>
          </w:tcPr>
          <w:p w14:paraId="6F028962" w14:textId="77777777" w:rsidR="009202FD" w:rsidRPr="009202FD" w:rsidRDefault="009202FD" w:rsidP="009202FD">
            <w:pPr>
              <w:spacing w:after="0" w:line="240" w:lineRule="auto"/>
              <w:jc w:val="right"/>
              <w:rPr>
                <w:rFonts w:ascii="Calibri" w:eastAsia="Times New Roman" w:hAnsi="Calibri" w:cs="Calibri"/>
                <w:b/>
                <w:bCs/>
                <w:color w:val="000000"/>
                <w:kern w:val="0"/>
                <w:lang w:eastAsia="et-EE"/>
                <w14:ligatures w14:val="none"/>
              </w:rPr>
            </w:pPr>
            <w:r w:rsidRPr="009202FD">
              <w:rPr>
                <w:rFonts w:ascii="Calibri" w:eastAsia="Times New Roman" w:hAnsi="Calibri" w:cs="Calibri"/>
                <w:b/>
                <w:bCs/>
                <w:color w:val="000000"/>
                <w:kern w:val="0"/>
                <w:lang w:eastAsia="et-EE"/>
                <w14:ligatures w14:val="none"/>
              </w:rPr>
              <w:t>0,0</w:t>
            </w:r>
          </w:p>
        </w:tc>
      </w:tr>
    </w:tbl>
    <w:p w14:paraId="26F812F8" w14:textId="3F2E8BF3" w:rsidR="009202FD" w:rsidRDefault="009202FD" w:rsidP="009202FD">
      <w:pPr>
        <w:spacing w:after="0" w:line="240" w:lineRule="auto"/>
        <w:jc w:val="both"/>
        <w:rPr>
          <w:sz w:val="20"/>
          <w:szCs w:val="20"/>
        </w:rPr>
      </w:pPr>
      <w:r>
        <w:rPr>
          <w:sz w:val="20"/>
          <w:szCs w:val="20"/>
        </w:rPr>
        <w:t>* Uuest majandusprognoosist tulenevalt kohendatakse arvutusi, et koondtulemus oleks 0.</w:t>
      </w:r>
    </w:p>
    <w:p w14:paraId="634A24B8" w14:textId="77777777" w:rsidR="009202FD" w:rsidRDefault="009202FD" w:rsidP="000B41E5">
      <w:pPr>
        <w:spacing w:after="0" w:line="240" w:lineRule="auto"/>
        <w:jc w:val="both"/>
        <w:rPr>
          <w:sz w:val="24"/>
          <w:szCs w:val="24"/>
        </w:rPr>
      </w:pPr>
    </w:p>
    <w:p w14:paraId="342A7368" w14:textId="0C3874B0" w:rsidR="000B41E5" w:rsidRDefault="000B41E5" w:rsidP="000B41E5">
      <w:pPr>
        <w:spacing w:after="0" w:line="240" w:lineRule="auto"/>
        <w:jc w:val="both"/>
        <w:rPr>
          <w:sz w:val="24"/>
          <w:szCs w:val="24"/>
        </w:rPr>
      </w:pPr>
      <w:bookmarkStart w:id="1" w:name="_Hlk151375421"/>
      <w:bookmarkEnd w:id="0"/>
      <w:r w:rsidRPr="00CD3E2A">
        <w:rPr>
          <w:sz w:val="24"/>
          <w:szCs w:val="24"/>
        </w:rPr>
        <w:t>Tulubaasi ümberkorraldusest tingitud osade KOVide tulubaasi liiga suure vähenemise vältimiseks on ette nähtud piirmäär, millest üle minev vähenemine kompenseeritakse. Vastav kompensatsioon nähakse ette KOVide tasandusfondis tulude-kulude tasandamisest eraldi. Kompensatsioon arvutatakse välja prognoosi alusel 2024. aastal ja hiljem ei muudeta tulenevalt prognooside või laekumiste muutumisest. Alates 20</w:t>
      </w:r>
      <w:r w:rsidR="009202FD">
        <w:rPr>
          <w:sz w:val="24"/>
          <w:szCs w:val="24"/>
        </w:rPr>
        <w:t>30</w:t>
      </w:r>
      <w:r w:rsidRPr="00CD3E2A">
        <w:rPr>
          <w:sz w:val="24"/>
          <w:szCs w:val="24"/>
        </w:rPr>
        <w:t>. a hakkab kompensatsioon vähenema aastas 15 protsendipunktise sammuga ja jõuab nulli 203</w:t>
      </w:r>
      <w:r w:rsidR="009202FD">
        <w:rPr>
          <w:sz w:val="24"/>
          <w:szCs w:val="24"/>
        </w:rPr>
        <w:t>6</w:t>
      </w:r>
      <w:r w:rsidRPr="00CD3E2A">
        <w:rPr>
          <w:sz w:val="24"/>
          <w:szCs w:val="24"/>
        </w:rPr>
        <w:t>. a. Vabanev raha suunatakse tasandusfondi tulude ja kulude ühtlustamiseks.</w:t>
      </w:r>
    </w:p>
    <w:p w14:paraId="5B9A3DBD" w14:textId="77777777" w:rsidR="000B41E5" w:rsidRDefault="000B41E5" w:rsidP="000B41E5">
      <w:pPr>
        <w:spacing w:after="0" w:line="240" w:lineRule="auto"/>
        <w:jc w:val="both"/>
        <w:rPr>
          <w:sz w:val="24"/>
          <w:szCs w:val="24"/>
        </w:rPr>
      </w:pPr>
    </w:p>
    <w:p w14:paraId="220BCB42" w14:textId="77777777" w:rsidR="009202FD" w:rsidRDefault="009202FD" w:rsidP="000B41E5">
      <w:pPr>
        <w:spacing w:after="0" w:line="240" w:lineRule="auto"/>
        <w:jc w:val="both"/>
        <w:rPr>
          <w:sz w:val="24"/>
          <w:szCs w:val="24"/>
        </w:rPr>
      </w:pPr>
    </w:p>
    <w:p w14:paraId="170C61C4" w14:textId="77777777" w:rsidR="009202FD" w:rsidRDefault="009202FD" w:rsidP="000B41E5">
      <w:pPr>
        <w:spacing w:after="0" w:line="240" w:lineRule="auto"/>
        <w:jc w:val="both"/>
        <w:rPr>
          <w:sz w:val="24"/>
          <w:szCs w:val="24"/>
        </w:rPr>
      </w:pPr>
    </w:p>
    <w:p w14:paraId="5792684A" w14:textId="77777777" w:rsidR="009202FD" w:rsidRDefault="009202FD" w:rsidP="000B41E5">
      <w:pPr>
        <w:spacing w:after="0" w:line="240" w:lineRule="auto"/>
        <w:jc w:val="both"/>
        <w:rPr>
          <w:sz w:val="24"/>
          <w:szCs w:val="24"/>
        </w:rPr>
      </w:pPr>
    </w:p>
    <w:p w14:paraId="73D7049D" w14:textId="77777777" w:rsidR="009202FD" w:rsidRDefault="009202FD" w:rsidP="000B41E5">
      <w:pPr>
        <w:spacing w:after="0" w:line="240" w:lineRule="auto"/>
        <w:jc w:val="both"/>
        <w:rPr>
          <w:sz w:val="24"/>
          <w:szCs w:val="24"/>
        </w:rPr>
      </w:pPr>
    </w:p>
    <w:p w14:paraId="1050AEBD" w14:textId="77777777" w:rsidR="009202FD" w:rsidRDefault="009202FD" w:rsidP="000B41E5">
      <w:pPr>
        <w:spacing w:after="0" w:line="240" w:lineRule="auto"/>
        <w:jc w:val="both"/>
        <w:rPr>
          <w:sz w:val="24"/>
          <w:szCs w:val="24"/>
        </w:rPr>
      </w:pPr>
    </w:p>
    <w:p w14:paraId="43976646" w14:textId="77777777" w:rsidR="009202FD" w:rsidRDefault="009202FD" w:rsidP="000B41E5">
      <w:pPr>
        <w:spacing w:after="0" w:line="240" w:lineRule="auto"/>
        <w:jc w:val="both"/>
        <w:rPr>
          <w:sz w:val="24"/>
          <w:szCs w:val="24"/>
        </w:rPr>
      </w:pPr>
    </w:p>
    <w:p w14:paraId="597869F5" w14:textId="77777777" w:rsidR="009202FD" w:rsidRDefault="009202FD" w:rsidP="000B41E5">
      <w:pPr>
        <w:spacing w:after="0" w:line="240" w:lineRule="auto"/>
        <w:jc w:val="both"/>
        <w:rPr>
          <w:sz w:val="24"/>
          <w:szCs w:val="24"/>
        </w:rPr>
      </w:pPr>
    </w:p>
    <w:p w14:paraId="57A302D7" w14:textId="77777777" w:rsidR="009202FD" w:rsidRDefault="009202FD" w:rsidP="000B41E5">
      <w:pPr>
        <w:spacing w:after="0" w:line="240" w:lineRule="auto"/>
        <w:jc w:val="both"/>
        <w:rPr>
          <w:sz w:val="24"/>
          <w:szCs w:val="24"/>
        </w:rPr>
      </w:pPr>
    </w:p>
    <w:p w14:paraId="539AB169" w14:textId="77777777" w:rsidR="009202FD" w:rsidRDefault="009202FD" w:rsidP="000B41E5">
      <w:pPr>
        <w:spacing w:after="0" w:line="240" w:lineRule="auto"/>
        <w:jc w:val="both"/>
        <w:rPr>
          <w:sz w:val="24"/>
          <w:szCs w:val="24"/>
        </w:rPr>
      </w:pPr>
    </w:p>
    <w:p w14:paraId="19817E7B" w14:textId="77777777" w:rsidR="009202FD" w:rsidRDefault="009202FD" w:rsidP="000B41E5">
      <w:pPr>
        <w:spacing w:after="0" w:line="240" w:lineRule="auto"/>
        <w:jc w:val="both"/>
        <w:rPr>
          <w:sz w:val="24"/>
          <w:szCs w:val="24"/>
        </w:rPr>
      </w:pPr>
    </w:p>
    <w:p w14:paraId="473F5726" w14:textId="77777777" w:rsidR="000B41E5" w:rsidRDefault="000B41E5" w:rsidP="000B41E5">
      <w:pPr>
        <w:spacing w:after="0" w:line="240" w:lineRule="auto"/>
        <w:jc w:val="both"/>
        <w:rPr>
          <w:sz w:val="24"/>
          <w:szCs w:val="24"/>
        </w:rPr>
      </w:pPr>
      <w:r w:rsidRPr="00F11C29">
        <w:rPr>
          <w:sz w:val="24"/>
          <w:szCs w:val="24"/>
        </w:rPr>
        <w:lastRenderedPageBreak/>
        <w:t>Tabel 3. Tulubaasi muudatuste mõju KOV grupiti võrreldes olukorraga</w:t>
      </w:r>
      <w:r>
        <w:rPr>
          <w:sz w:val="24"/>
          <w:szCs w:val="24"/>
        </w:rPr>
        <w:t>,</w:t>
      </w:r>
      <w:r w:rsidRPr="00F11C29">
        <w:rPr>
          <w:sz w:val="24"/>
          <w:szCs w:val="24"/>
        </w:rPr>
        <w:t xml:space="preserve"> kui muudatusi ei tehtaks (vs Status Quo)</w:t>
      </w:r>
    </w:p>
    <w:p w14:paraId="4D5AA9B8" w14:textId="77777777" w:rsidR="009202FD" w:rsidRPr="00F11C29" w:rsidRDefault="009202FD" w:rsidP="000B41E5">
      <w:pPr>
        <w:spacing w:after="0" w:line="240" w:lineRule="auto"/>
        <w:jc w:val="both"/>
        <w:rPr>
          <w:sz w:val="24"/>
          <w:szCs w:val="24"/>
        </w:rPr>
      </w:pPr>
    </w:p>
    <w:tbl>
      <w:tblPr>
        <w:tblW w:w="9782" w:type="dxa"/>
        <w:tblInd w:w="-4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0"/>
        <w:gridCol w:w="850"/>
        <w:gridCol w:w="851"/>
        <w:gridCol w:w="850"/>
        <w:gridCol w:w="851"/>
        <w:gridCol w:w="856"/>
        <w:gridCol w:w="709"/>
        <w:gridCol w:w="793"/>
        <w:gridCol w:w="661"/>
        <w:gridCol w:w="661"/>
        <w:gridCol w:w="720"/>
      </w:tblGrid>
      <w:tr w:rsidR="009202FD" w:rsidRPr="00994B45" w14:paraId="48421E51" w14:textId="6CD02138" w:rsidTr="00994B45">
        <w:trPr>
          <w:trHeight w:val="288"/>
        </w:trPr>
        <w:tc>
          <w:tcPr>
            <w:tcW w:w="1980" w:type="dxa"/>
            <w:vMerge w:val="restart"/>
            <w:shd w:val="clear" w:color="auto" w:fill="auto"/>
            <w:noWrap/>
            <w:hideMark/>
          </w:tcPr>
          <w:p w14:paraId="63FF1E53" w14:textId="77777777" w:rsidR="009202FD" w:rsidRPr="00994B45" w:rsidRDefault="009202FD" w:rsidP="005F063B">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Grupp</w:t>
            </w:r>
          </w:p>
        </w:tc>
        <w:tc>
          <w:tcPr>
            <w:tcW w:w="4258" w:type="dxa"/>
            <w:gridSpan w:val="5"/>
            <w:shd w:val="clear" w:color="auto" w:fill="auto"/>
            <w:noWrap/>
            <w:hideMark/>
          </w:tcPr>
          <w:p w14:paraId="091B4A4E" w14:textId="774E6A2C" w:rsidR="009202FD" w:rsidRPr="00994B45" w:rsidRDefault="009202FD" w:rsidP="00994B45">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Muutus % võrreldes olukorraga, kui midagi ei muutu</w:t>
            </w:r>
          </w:p>
        </w:tc>
        <w:tc>
          <w:tcPr>
            <w:tcW w:w="2824" w:type="dxa"/>
            <w:gridSpan w:val="4"/>
            <w:shd w:val="clear" w:color="auto" w:fill="auto"/>
            <w:noWrap/>
            <w:hideMark/>
          </w:tcPr>
          <w:p w14:paraId="7644CB8F" w14:textId="753506AF" w:rsidR="009202FD" w:rsidRPr="00994B45" w:rsidRDefault="009202FD" w:rsidP="00994B45">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Kasv % võrreldes 2024. a</w:t>
            </w:r>
          </w:p>
        </w:tc>
        <w:tc>
          <w:tcPr>
            <w:tcW w:w="720" w:type="dxa"/>
          </w:tcPr>
          <w:p w14:paraId="079752B7" w14:textId="77777777" w:rsidR="009202FD" w:rsidRPr="00994B45" w:rsidRDefault="009202FD" w:rsidP="005F063B">
            <w:pPr>
              <w:spacing w:after="0" w:line="240" w:lineRule="auto"/>
              <w:jc w:val="center"/>
              <w:rPr>
                <w:rFonts w:ascii="Arial" w:hAnsi="Arial" w:cs="Arial"/>
                <w:b/>
                <w:bCs/>
                <w:color w:val="000000"/>
                <w:sz w:val="20"/>
                <w:szCs w:val="20"/>
                <w:lang w:eastAsia="et-EE"/>
              </w:rPr>
            </w:pPr>
          </w:p>
        </w:tc>
      </w:tr>
      <w:tr w:rsidR="009202FD" w:rsidRPr="00994B45" w14:paraId="4AC70849" w14:textId="534CE336" w:rsidTr="00994B45">
        <w:trPr>
          <w:trHeight w:val="264"/>
        </w:trPr>
        <w:tc>
          <w:tcPr>
            <w:tcW w:w="1980" w:type="dxa"/>
            <w:vMerge/>
            <w:shd w:val="clear" w:color="auto" w:fill="F2F2F2"/>
            <w:hideMark/>
          </w:tcPr>
          <w:p w14:paraId="2B91DC86" w14:textId="77777777" w:rsidR="009202FD" w:rsidRPr="00994B45" w:rsidRDefault="009202FD" w:rsidP="005F063B">
            <w:pPr>
              <w:spacing w:after="0" w:line="240" w:lineRule="auto"/>
              <w:rPr>
                <w:rFonts w:ascii="Arial" w:hAnsi="Arial" w:cs="Arial"/>
                <w:color w:val="000000"/>
                <w:sz w:val="20"/>
                <w:szCs w:val="20"/>
                <w:lang w:eastAsia="et-EE"/>
              </w:rPr>
            </w:pPr>
          </w:p>
        </w:tc>
        <w:tc>
          <w:tcPr>
            <w:tcW w:w="850" w:type="dxa"/>
            <w:shd w:val="clear" w:color="auto" w:fill="F2F2F2"/>
            <w:noWrap/>
            <w:hideMark/>
          </w:tcPr>
          <w:p w14:paraId="15C5C504" w14:textId="7777777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2025</w:t>
            </w:r>
          </w:p>
        </w:tc>
        <w:tc>
          <w:tcPr>
            <w:tcW w:w="851" w:type="dxa"/>
            <w:shd w:val="clear" w:color="auto" w:fill="F2F2F2"/>
            <w:noWrap/>
            <w:hideMark/>
          </w:tcPr>
          <w:p w14:paraId="5F23F71A" w14:textId="7777777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2026</w:t>
            </w:r>
          </w:p>
        </w:tc>
        <w:tc>
          <w:tcPr>
            <w:tcW w:w="850" w:type="dxa"/>
            <w:shd w:val="clear" w:color="auto" w:fill="F2F2F2"/>
            <w:noWrap/>
            <w:hideMark/>
          </w:tcPr>
          <w:p w14:paraId="01CB99AF" w14:textId="7777777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2027</w:t>
            </w:r>
          </w:p>
        </w:tc>
        <w:tc>
          <w:tcPr>
            <w:tcW w:w="851" w:type="dxa"/>
            <w:shd w:val="clear" w:color="auto" w:fill="F2F2F2"/>
            <w:noWrap/>
            <w:hideMark/>
          </w:tcPr>
          <w:p w14:paraId="7AD37E00" w14:textId="7777777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2028</w:t>
            </w:r>
          </w:p>
        </w:tc>
        <w:tc>
          <w:tcPr>
            <w:tcW w:w="856" w:type="dxa"/>
            <w:shd w:val="clear" w:color="auto" w:fill="F2F2F2"/>
          </w:tcPr>
          <w:p w14:paraId="167AEF33" w14:textId="58567D54"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2029</w:t>
            </w:r>
          </w:p>
        </w:tc>
        <w:tc>
          <w:tcPr>
            <w:tcW w:w="709" w:type="dxa"/>
            <w:shd w:val="clear" w:color="auto" w:fill="F2F2F2"/>
            <w:noWrap/>
            <w:hideMark/>
          </w:tcPr>
          <w:p w14:paraId="1E95C562" w14:textId="76FE57CB"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2025</w:t>
            </w:r>
          </w:p>
        </w:tc>
        <w:tc>
          <w:tcPr>
            <w:tcW w:w="793" w:type="dxa"/>
            <w:shd w:val="clear" w:color="auto" w:fill="F2F2F2"/>
            <w:noWrap/>
            <w:hideMark/>
          </w:tcPr>
          <w:p w14:paraId="72C2030F" w14:textId="7777777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2026</w:t>
            </w:r>
          </w:p>
        </w:tc>
        <w:tc>
          <w:tcPr>
            <w:tcW w:w="661" w:type="dxa"/>
            <w:shd w:val="clear" w:color="auto" w:fill="F2F2F2"/>
            <w:noWrap/>
            <w:hideMark/>
          </w:tcPr>
          <w:p w14:paraId="17FC5B13" w14:textId="7777777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2027</w:t>
            </w:r>
          </w:p>
        </w:tc>
        <w:tc>
          <w:tcPr>
            <w:tcW w:w="661" w:type="dxa"/>
            <w:shd w:val="clear" w:color="auto" w:fill="F2F2F2"/>
            <w:noWrap/>
            <w:hideMark/>
          </w:tcPr>
          <w:p w14:paraId="473EAEDC" w14:textId="7777777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2028</w:t>
            </w:r>
          </w:p>
        </w:tc>
        <w:tc>
          <w:tcPr>
            <w:tcW w:w="720" w:type="dxa"/>
            <w:shd w:val="clear" w:color="auto" w:fill="F2F2F2"/>
          </w:tcPr>
          <w:p w14:paraId="47B57951" w14:textId="39702117" w:rsidR="009202FD" w:rsidRPr="00994B45" w:rsidRDefault="009202FD" w:rsidP="005F063B">
            <w:pPr>
              <w:spacing w:after="0" w:line="240" w:lineRule="auto"/>
              <w:jc w:val="center"/>
              <w:rPr>
                <w:rFonts w:ascii="Arial" w:hAnsi="Arial" w:cs="Arial"/>
                <w:b/>
                <w:bCs/>
                <w:color w:val="000000"/>
                <w:sz w:val="20"/>
                <w:szCs w:val="20"/>
                <w:lang w:eastAsia="et-EE"/>
              </w:rPr>
            </w:pPr>
            <w:r w:rsidRPr="00994B45">
              <w:rPr>
                <w:rFonts w:ascii="Arial" w:hAnsi="Arial" w:cs="Arial"/>
                <w:b/>
                <w:bCs/>
                <w:color w:val="000000"/>
                <w:sz w:val="20"/>
                <w:szCs w:val="20"/>
                <w:lang w:eastAsia="et-EE"/>
              </w:rPr>
              <w:t>2029</w:t>
            </w:r>
          </w:p>
        </w:tc>
      </w:tr>
      <w:tr w:rsidR="00994B45" w:rsidRPr="00994B45" w14:paraId="06E8D170" w14:textId="17FBE515" w:rsidTr="00994B45">
        <w:trPr>
          <w:trHeight w:val="264"/>
        </w:trPr>
        <w:tc>
          <w:tcPr>
            <w:tcW w:w="1980" w:type="dxa"/>
            <w:shd w:val="clear" w:color="auto" w:fill="auto"/>
            <w:noWrap/>
            <w:hideMark/>
          </w:tcPr>
          <w:p w14:paraId="5095B49B"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Tallinna linn</w:t>
            </w:r>
          </w:p>
        </w:tc>
        <w:tc>
          <w:tcPr>
            <w:tcW w:w="850" w:type="dxa"/>
            <w:shd w:val="clear" w:color="auto" w:fill="auto"/>
            <w:noWrap/>
            <w:hideMark/>
          </w:tcPr>
          <w:p w14:paraId="1A3E8137" w14:textId="29EE6FD9"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-1,1%</w:t>
            </w:r>
          </w:p>
        </w:tc>
        <w:tc>
          <w:tcPr>
            <w:tcW w:w="851" w:type="dxa"/>
            <w:shd w:val="clear" w:color="auto" w:fill="auto"/>
            <w:noWrap/>
            <w:hideMark/>
          </w:tcPr>
          <w:p w14:paraId="6AEFEBD3" w14:textId="79230328"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-2,0%</w:t>
            </w:r>
          </w:p>
        </w:tc>
        <w:tc>
          <w:tcPr>
            <w:tcW w:w="850" w:type="dxa"/>
            <w:shd w:val="clear" w:color="auto" w:fill="auto"/>
            <w:noWrap/>
            <w:hideMark/>
          </w:tcPr>
          <w:p w14:paraId="1136FD7C" w14:textId="74F364FD"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-2,5%</w:t>
            </w:r>
          </w:p>
        </w:tc>
        <w:tc>
          <w:tcPr>
            <w:tcW w:w="851" w:type="dxa"/>
            <w:shd w:val="clear" w:color="auto" w:fill="auto"/>
            <w:noWrap/>
            <w:hideMark/>
          </w:tcPr>
          <w:p w14:paraId="05A72D08" w14:textId="2BDD88D6"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-2,9%</w:t>
            </w:r>
          </w:p>
        </w:tc>
        <w:tc>
          <w:tcPr>
            <w:tcW w:w="856" w:type="dxa"/>
          </w:tcPr>
          <w:p w14:paraId="31B00912" w14:textId="6CD74E69"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-2,9%</w:t>
            </w:r>
          </w:p>
        </w:tc>
        <w:tc>
          <w:tcPr>
            <w:tcW w:w="709" w:type="dxa"/>
            <w:shd w:val="clear" w:color="auto" w:fill="auto"/>
            <w:noWrap/>
            <w:vAlign w:val="bottom"/>
            <w:hideMark/>
          </w:tcPr>
          <w:p w14:paraId="79773B1C" w14:textId="1214D951"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4%</w:t>
            </w:r>
          </w:p>
        </w:tc>
        <w:tc>
          <w:tcPr>
            <w:tcW w:w="793" w:type="dxa"/>
            <w:shd w:val="clear" w:color="auto" w:fill="auto"/>
            <w:noWrap/>
            <w:vAlign w:val="bottom"/>
            <w:hideMark/>
          </w:tcPr>
          <w:p w14:paraId="6E238BA4" w14:textId="235E0E22"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8%</w:t>
            </w:r>
          </w:p>
        </w:tc>
        <w:tc>
          <w:tcPr>
            <w:tcW w:w="661" w:type="dxa"/>
            <w:shd w:val="clear" w:color="auto" w:fill="auto"/>
            <w:noWrap/>
            <w:vAlign w:val="bottom"/>
            <w:hideMark/>
          </w:tcPr>
          <w:p w14:paraId="64B11720" w14:textId="3C19B202"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12%</w:t>
            </w:r>
          </w:p>
        </w:tc>
        <w:tc>
          <w:tcPr>
            <w:tcW w:w="661" w:type="dxa"/>
            <w:shd w:val="clear" w:color="auto" w:fill="auto"/>
            <w:noWrap/>
            <w:vAlign w:val="bottom"/>
            <w:hideMark/>
          </w:tcPr>
          <w:p w14:paraId="78D10CE6" w14:textId="56CB5760"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16%</w:t>
            </w:r>
          </w:p>
        </w:tc>
        <w:tc>
          <w:tcPr>
            <w:tcW w:w="720" w:type="dxa"/>
            <w:vAlign w:val="bottom"/>
          </w:tcPr>
          <w:p w14:paraId="35900323" w14:textId="51E3E892"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21%</w:t>
            </w:r>
          </w:p>
        </w:tc>
      </w:tr>
      <w:tr w:rsidR="00994B45" w:rsidRPr="00994B45" w14:paraId="5D1B8437" w14:textId="70D52B81" w:rsidTr="00994B45">
        <w:trPr>
          <w:trHeight w:val="264"/>
        </w:trPr>
        <w:tc>
          <w:tcPr>
            <w:tcW w:w="1980" w:type="dxa"/>
            <w:shd w:val="clear" w:color="auto" w:fill="F2F2F2"/>
            <w:noWrap/>
            <w:hideMark/>
          </w:tcPr>
          <w:p w14:paraId="2CB76F29"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Harjumaa tulukad</w:t>
            </w:r>
          </w:p>
        </w:tc>
        <w:tc>
          <w:tcPr>
            <w:tcW w:w="850" w:type="dxa"/>
            <w:shd w:val="clear" w:color="auto" w:fill="F2F2F2"/>
            <w:noWrap/>
            <w:hideMark/>
          </w:tcPr>
          <w:p w14:paraId="14303796" w14:textId="4FCAA37B"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-1,2%</w:t>
            </w:r>
          </w:p>
        </w:tc>
        <w:tc>
          <w:tcPr>
            <w:tcW w:w="851" w:type="dxa"/>
            <w:shd w:val="clear" w:color="auto" w:fill="F2F2F2"/>
            <w:noWrap/>
            <w:hideMark/>
          </w:tcPr>
          <w:p w14:paraId="18D1381B" w14:textId="78CCDBC5"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-1,7%</w:t>
            </w:r>
          </w:p>
        </w:tc>
        <w:tc>
          <w:tcPr>
            <w:tcW w:w="850" w:type="dxa"/>
            <w:shd w:val="clear" w:color="auto" w:fill="F2F2F2"/>
            <w:noWrap/>
            <w:hideMark/>
          </w:tcPr>
          <w:p w14:paraId="2D6229A5" w14:textId="43354EA8"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-2,1%</w:t>
            </w:r>
          </w:p>
        </w:tc>
        <w:tc>
          <w:tcPr>
            <w:tcW w:w="851" w:type="dxa"/>
            <w:shd w:val="clear" w:color="auto" w:fill="F2F2F2"/>
            <w:noWrap/>
            <w:hideMark/>
          </w:tcPr>
          <w:p w14:paraId="29E45D82" w14:textId="7060B104"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-2,5%</w:t>
            </w:r>
          </w:p>
        </w:tc>
        <w:tc>
          <w:tcPr>
            <w:tcW w:w="856" w:type="dxa"/>
            <w:shd w:val="clear" w:color="auto" w:fill="F2F2F2"/>
          </w:tcPr>
          <w:p w14:paraId="6BDEB084" w14:textId="4873CD08"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-2,5%</w:t>
            </w:r>
          </w:p>
        </w:tc>
        <w:tc>
          <w:tcPr>
            <w:tcW w:w="709" w:type="dxa"/>
            <w:shd w:val="clear" w:color="auto" w:fill="F2F2F2"/>
            <w:noWrap/>
            <w:vAlign w:val="bottom"/>
            <w:hideMark/>
          </w:tcPr>
          <w:p w14:paraId="38E41167" w14:textId="486717F5"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4%</w:t>
            </w:r>
          </w:p>
        </w:tc>
        <w:tc>
          <w:tcPr>
            <w:tcW w:w="793" w:type="dxa"/>
            <w:shd w:val="clear" w:color="auto" w:fill="F2F2F2"/>
            <w:noWrap/>
            <w:vAlign w:val="bottom"/>
            <w:hideMark/>
          </w:tcPr>
          <w:p w14:paraId="207C79B5" w14:textId="74DF561F"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8%</w:t>
            </w:r>
          </w:p>
        </w:tc>
        <w:tc>
          <w:tcPr>
            <w:tcW w:w="661" w:type="dxa"/>
            <w:shd w:val="clear" w:color="auto" w:fill="F2F2F2"/>
            <w:noWrap/>
            <w:vAlign w:val="bottom"/>
            <w:hideMark/>
          </w:tcPr>
          <w:p w14:paraId="6255CDB3" w14:textId="5DA7ABF1"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12%</w:t>
            </w:r>
          </w:p>
        </w:tc>
        <w:tc>
          <w:tcPr>
            <w:tcW w:w="661" w:type="dxa"/>
            <w:shd w:val="clear" w:color="auto" w:fill="F2F2F2"/>
            <w:noWrap/>
            <w:vAlign w:val="bottom"/>
            <w:hideMark/>
          </w:tcPr>
          <w:p w14:paraId="10C127AB" w14:textId="2BE338EB"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16%</w:t>
            </w:r>
          </w:p>
        </w:tc>
        <w:tc>
          <w:tcPr>
            <w:tcW w:w="720" w:type="dxa"/>
            <w:shd w:val="clear" w:color="auto" w:fill="F2F2F2"/>
            <w:vAlign w:val="bottom"/>
          </w:tcPr>
          <w:p w14:paraId="3CF2F33E" w14:textId="470B5834"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21%</w:t>
            </w:r>
          </w:p>
        </w:tc>
      </w:tr>
      <w:tr w:rsidR="00994B45" w:rsidRPr="00994B45" w14:paraId="270D4635" w14:textId="4F6A6345" w:rsidTr="00994B45">
        <w:trPr>
          <w:trHeight w:val="264"/>
        </w:trPr>
        <w:tc>
          <w:tcPr>
            <w:tcW w:w="1980" w:type="dxa"/>
            <w:shd w:val="clear" w:color="auto" w:fill="auto"/>
            <w:noWrap/>
            <w:hideMark/>
          </w:tcPr>
          <w:p w14:paraId="03AC1B8F"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Muu Eesti tulukad</w:t>
            </w:r>
          </w:p>
        </w:tc>
        <w:tc>
          <w:tcPr>
            <w:tcW w:w="850" w:type="dxa"/>
            <w:shd w:val="clear" w:color="auto" w:fill="auto"/>
            <w:noWrap/>
            <w:hideMark/>
          </w:tcPr>
          <w:p w14:paraId="7CA9EDCD" w14:textId="5768180B"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-0,3%</w:t>
            </w:r>
          </w:p>
        </w:tc>
        <w:tc>
          <w:tcPr>
            <w:tcW w:w="851" w:type="dxa"/>
            <w:shd w:val="clear" w:color="auto" w:fill="auto"/>
            <w:noWrap/>
            <w:hideMark/>
          </w:tcPr>
          <w:p w14:paraId="1E14BBCC" w14:textId="7A2DCDDB"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-0,6%</w:t>
            </w:r>
          </w:p>
        </w:tc>
        <w:tc>
          <w:tcPr>
            <w:tcW w:w="850" w:type="dxa"/>
            <w:shd w:val="clear" w:color="auto" w:fill="auto"/>
            <w:noWrap/>
            <w:hideMark/>
          </w:tcPr>
          <w:p w14:paraId="1C75515C" w14:textId="7A829CCE"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-0,8%</w:t>
            </w:r>
          </w:p>
        </w:tc>
        <w:tc>
          <w:tcPr>
            <w:tcW w:w="851" w:type="dxa"/>
            <w:shd w:val="clear" w:color="auto" w:fill="auto"/>
            <w:noWrap/>
            <w:hideMark/>
          </w:tcPr>
          <w:p w14:paraId="5BBEFE80" w14:textId="7F2FAC09"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-0,7%</w:t>
            </w:r>
          </w:p>
        </w:tc>
        <w:tc>
          <w:tcPr>
            <w:tcW w:w="856" w:type="dxa"/>
          </w:tcPr>
          <w:p w14:paraId="3BD5BAE7" w14:textId="62E7C031"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-0,6%</w:t>
            </w:r>
          </w:p>
        </w:tc>
        <w:tc>
          <w:tcPr>
            <w:tcW w:w="709" w:type="dxa"/>
            <w:shd w:val="clear" w:color="auto" w:fill="auto"/>
            <w:noWrap/>
            <w:vAlign w:val="bottom"/>
            <w:hideMark/>
          </w:tcPr>
          <w:p w14:paraId="49366AA9" w14:textId="4F512117"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5%</w:t>
            </w:r>
          </w:p>
        </w:tc>
        <w:tc>
          <w:tcPr>
            <w:tcW w:w="793" w:type="dxa"/>
            <w:shd w:val="clear" w:color="auto" w:fill="auto"/>
            <w:noWrap/>
            <w:vAlign w:val="bottom"/>
            <w:hideMark/>
          </w:tcPr>
          <w:p w14:paraId="47A6C064" w14:textId="291AF506"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9%</w:t>
            </w:r>
          </w:p>
        </w:tc>
        <w:tc>
          <w:tcPr>
            <w:tcW w:w="661" w:type="dxa"/>
            <w:shd w:val="clear" w:color="auto" w:fill="auto"/>
            <w:noWrap/>
            <w:vAlign w:val="bottom"/>
            <w:hideMark/>
          </w:tcPr>
          <w:p w14:paraId="632FA4DA" w14:textId="6F13CB74"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14%</w:t>
            </w:r>
          </w:p>
        </w:tc>
        <w:tc>
          <w:tcPr>
            <w:tcW w:w="661" w:type="dxa"/>
            <w:shd w:val="clear" w:color="auto" w:fill="auto"/>
            <w:noWrap/>
            <w:vAlign w:val="bottom"/>
            <w:hideMark/>
          </w:tcPr>
          <w:p w14:paraId="35D427F2" w14:textId="4063BB5A"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19%</w:t>
            </w:r>
          </w:p>
        </w:tc>
        <w:tc>
          <w:tcPr>
            <w:tcW w:w="720" w:type="dxa"/>
            <w:vAlign w:val="bottom"/>
          </w:tcPr>
          <w:p w14:paraId="3F6F2E6D" w14:textId="4D1753FF"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23%</w:t>
            </w:r>
          </w:p>
        </w:tc>
      </w:tr>
      <w:tr w:rsidR="00994B45" w:rsidRPr="00994B45" w14:paraId="71EE62A8" w14:textId="2754D5B4" w:rsidTr="00994B45">
        <w:trPr>
          <w:trHeight w:val="264"/>
        </w:trPr>
        <w:tc>
          <w:tcPr>
            <w:tcW w:w="1980" w:type="dxa"/>
            <w:shd w:val="clear" w:color="auto" w:fill="F2F2F2"/>
            <w:noWrap/>
            <w:hideMark/>
          </w:tcPr>
          <w:p w14:paraId="434B2A2F"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Keskused</w:t>
            </w:r>
          </w:p>
        </w:tc>
        <w:tc>
          <w:tcPr>
            <w:tcW w:w="850" w:type="dxa"/>
            <w:shd w:val="clear" w:color="auto" w:fill="F2F2F2"/>
            <w:noWrap/>
            <w:hideMark/>
          </w:tcPr>
          <w:p w14:paraId="359E1921" w14:textId="72A1E4CC"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1,2%</w:t>
            </w:r>
          </w:p>
        </w:tc>
        <w:tc>
          <w:tcPr>
            <w:tcW w:w="851" w:type="dxa"/>
            <w:shd w:val="clear" w:color="auto" w:fill="F2F2F2"/>
            <w:noWrap/>
            <w:hideMark/>
          </w:tcPr>
          <w:p w14:paraId="0D36C87B" w14:textId="130068B6"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2,5%</w:t>
            </w:r>
          </w:p>
        </w:tc>
        <w:tc>
          <w:tcPr>
            <w:tcW w:w="850" w:type="dxa"/>
            <w:shd w:val="clear" w:color="auto" w:fill="F2F2F2"/>
            <w:noWrap/>
            <w:hideMark/>
          </w:tcPr>
          <w:p w14:paraId="09B5C0B9" w14:textId="38065266"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3,3%</w:t>
            </w:r>
          </w:p>
        </w:tc>
        <w:tc>
          <w:tcPr>
            <w:tcW w:w="851" w:type="dxa"/>
            <w:shd w:val="clear" w:color="auto" w:fill="F2F2F2"/>
            <w:noWrap/>
            <w:hideMark/>
          </w:tcPr>
          <w:p w14:paraId="1CAF28DD" w14:textId="7775390A"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3,8%</w:t>
            </w:r>
          </w:p>
        </w:tc>
        <w:tc>
          <w:tcPr>
            <w:tcW w:w="856" w:type="dxa"/>
            <w:shd w:val="clear" w:color="auto" w:fill="F2F2F2"/>
          </w:tcPr>
          <w:p w14:paraId="101F6114" w14:textId="671A3AC1"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3,7%</w:t>
            </w:r>
          </w:p>
        </w:tc>
        <w:tc>
          <w:tcPr>
            <w:tcW w:w="709" w:type="dxa"/>
            <w:shd w:val="clear" w:color="auto" w:fill="F2F2F2"/>
            <w:noWrap/>
            <w:vAlign w:val="bottom"/>
            <w:hideMark/>
          </w:tcPr>
          <w:p w14:paraId="06BF6DD8" w14:textId="3CBD1F57"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7%</w:t>
            </w:r>
          </w:p>
        </w:tc>
        <w:tc>
          <w:tcPr>
            <w:tcW w:w="793" w:type="dxa"/>
            <w:shd w:val="clear" w:color="auto" w:fill="F2F2F2"/>
            <w:noWrap/>
            <w:vAlign w:val="bottom"/>
            <w:hideMark/>
          </w:tcPr>
          <w:p w14:paraId="78E5BCD9" w14:textId="3A3090C3"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13%</w:t>
            </w:r>
          </w:p>
        </w:tc>
        <w:tc>
          <w:tcPr>
            <w:tcW w:w="661" w:type="dxa"/>
            <w:shd w:val="clear" w:color="auto" w:fill="F2F2F2"/>
            <w:noWrap/>
            <w:vAlign w:val="bottom"/>
            <w:hideMark/>
          </w:tcPr>
          <w:p w14:paraId="208AD8AE" w14:textId="326A0070"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18%</w:t>
            </w:r>
          </w:p>
        </w:tc>
        <w:tc>
          <w:tcPr>
            <w:tcW w:w="661" w:type="dxa"/>
            <w:shd w:val="clear" w:color="auto" w:fill="F2F2F2"/>
            <w:noWrap/>
            <w:vAlign w:val="bottom"/>
            <w:hideMark/>
          </w:tcPr>
          <w:p w14:paraId="09A74AD4" w14:textId="2E09164F"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22%</w:t>
            </w:r>
          </w:p>
        </w:tc>
        <w:tc>
          <w:tcPr>
            <w:tcW w:w="720" w:type="dxa"/>
            <w:shd w:val="clear" w:color="auto" w:fill="F2F2F2"/>
            <w:vAlign w:val="bottom"/>
          </w:tcPr>
          <w:p w14:paraId="7C972684" w14:textId="2DA99C1B"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26%</w:t>
            </w:r>
          </w:p>
        </w:tc>
      </w:tr>
      <w:tr w:rsidR="00994B45" w:rsidRPr="00994B45" w14:paraId="6D58ADDA" w14:textId="4DAD84C6" w:rsidTr="00994B45">
        <w:trPr>
          <w:trHeight w:val="264"/>
        </w:trPr>
        <w:tc>
          <w:tcPr>
            <w:tcW w:w="1980" w:type="dxa"/>
            <w:shd w:val="clear" w:color="auto" w:fill="auto"/>
            <w:noWrap/>
            <w:hideMark/>
          </w:tcPr>
          <w:p w14:paraId="614BB759"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Keskus tagamaaga</w:t>
            </w:r>
          </w:p>
        </w:tc>
        <w:tc>
          <w:tcPr>
            <w:tcW w:w="850" w:type="dxa"/>
            <w:shd w:val="clear" w:color="auto" w:fill="auto"/>
            <w:noWrap/>
            <w:hideMark/>
          </w:tcPr>
          <w:p w14:paraId="30C5B5F6" w14:textId="43D47400"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0,6%</w:t>
            </w:r>
          </w:p>
        </w:tc>
        <w:tc>
          <w:tcPr>
            <w:tcW w:w="851" w:type="dxa"/>
            <w:shd w:val="clear" w:color="auto" w:fill="auto"/>
            <w:noWrap/>
            <w:hideMark/>
          </w:tcPr>
          <w:p w14:paraId="2BE27609" w14:textId="7FFC61B4"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1,1%</w:t>
            </w:r>
          </w:p>
        </w:tc>
        <w:tc>
          <w:tcPr>
            <w:tcW w:w="850" w:type="dxa"/>
            <w:shd w:val="clear" w:color="auto" w:fill="auto"/>
            <w:noWrap/>
            <w:hideMark/>
          </w:tcPr>
          <w:p w14:paraId="29D6FEAE" w14:textId="164A83A4"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1,6%</w:t>
            </w:r>
          </w:p>
        </w:tc>
        <w:tc>
          <w:tcPr>
            <w:tcW w:w="851" w:type="dxa"/>
            <w:shd w:val="clear" w:color="auto" w:fill="auto"/>
            <w:noWrap/>
            <w:hideMark/>
          </w:tcPr>
          <w:p w14:paraId="37F510A9" w14:textId="445DC297"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1,8%</w:t>
            </w:r>
          </w:p>
        </w:tc>
        <w:tc>
          <w:tcPr>
            <w:tcW w:w="856" w:type="dxa"/>
          </w:tcPr>
          <w:p w14:paraId="75BD06E0" w14:textId="5BFEE6D5"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1,9%</w:t>
            </w:r>
          </w:p>
        </w:tc>
        <w:tc>
          <w:tcPr>
            <w:tcW w:w="709" w:type="dxa"/>
            <w:shd w:val="clear" w:color="auto" w:fill="auto"/>
            <w:noWrap/>
            <w:vAlign w:val="bottom"/>
            <w:hideMark/>
          </w:tcPr>
          <w:p w14:paraId="4F8CE6C1" w14:textId="6936B81F"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5%</w:t>
            </w:r>
          </w:p>
        </w:tc>
        <w:tc>
          <w:tcPr>
            <w:tcW w:w="793" w:type="dxa"/>
            <w:shd w:val="clear" w:color="auto" w:fill="auto"/>
            <w:noWrap/>
            <w:vAlign w:val="bottom"/>
            <w:hideMark/>
          </w:tcPr>
          <w:p w14:paraId="6B7D5F44" w14:textId="54C65E97"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10%</w:t>
            </w:r>
          </w:p>
        </w:tc>
        <w:tc>
          <w:tcPr>
            <w:tcW w:w="661" w:type="dxa"/>
            <w:shd w:val="clear" w:color="auto" w:fill="auto"/>
            <w:noWrap/>
            <w:vAlign w:val="bottom"/>
            <w:hideMark/>
          </w:tcPr>
          <w:p w14:paraId="43BC95C9" w14:textId="5EF96D98"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15%</w:t>
            </w:r>
          </w:p>
        </w:tc>
        <w:tc>
          <w:tcPr>
            <w:tcW w:w="661" w:type="dxa"/>
            <w:shd w:val="clear" w:color="auto" w:fill="auto"/>
            <w:noWrap/>
            <w:vAlign w:val="bottom"/>
            <w:hideMark/>
          </w:tcPr>
          <w:p w14:paraId="34CB1105" w14:textId="4F077726"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19%</w:t>
            </w:r>
          </w:p>
        </w:tc>
        <w:tc>
          <w:tcPr>
            <w:tcW w:w="720" w:type="dxa"/>
            <w:vAlign w:val="bottom"/>
          </w:tcPr>
          <w:p w14:paraId="14CB6C49" w14:textId="6C72D879"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23%</w:t>
            </w:r>
          </w:p>
        </w:tc>
      </w:tr>
      <w:tr w:rsidR="00994B45" w:rsidRPr="00994B45" w14:paraId="28AD2553" w14:textId="5B05E384" w:rsidTr="00994B45">
        <w:trPr>
          <w:trHeight w:val="264"/>
        </w:trPr>
        <w:tc>
          <w:tcPr>
            <w:tcW w:w="1980" w:type="dxa"/>
            <w:shd w:val="clear" w:color="auto" w:fill="F2F2F2"/>
            <w:noWrap/>
            <w:hideMark/>
          </w:tcPr>
          <w:p w14:paraId="7E127782"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Osaliselt tagamaalised</w:t>
            </w:r>
          </w:p>
        </w:tc>
        <w:tc>
          <w:tcPr>
            <w:tcW w:w="850" w:type="dxa"/>
            <w:shd w:val="clear" w:color="auto" w:fill="F2F2F2"/>
            <w:noWrap/>
            <w:hideMark/>
          </w:tcPr>
          <w:p w14:paraId="257FA50C" w14:textId="259590DC"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0,7%</w:t>
            </w:r>
          </w:p>
        </w:tc>
        <w:tc>
          <w:tcPr>
            <w:tcW w:w="851" w:type="dxa"/>
            <w:shd w:val="clear" w:color="auto" w:fill="F2F2F2"/>
            <w:noWrap/>
            <w:hideMark/>
          </w:tcPr>
          <w:p w14:paraId="2CEB89B6" w14:textId="24F20EC2"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1,4%</w:t>
            </w:r>
          </w:p>
        </w:tc>
        <w:tc>
          <w:tcPr>
            <w:tcW w:w="850" w:type="dxa"/>
            <w:shd w:val="clear" w:color="auto" w:fill="F2F2F2"/>
            <w:noWrap/>
            <w:hideMark/>
          </w:tcPr>
          <w:p w14:paraId="630EE87A" w14:textId="550A70CB"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1,9%</w:t>
            </w:r>
          </w:p>
        </w:tc>
        <w:tc>
          <w:tcPr>
            <w:tcW w:w="851" w:type="dxa"/>
            <w:shd w:val="clear" w:color="auto" w:fill="F2F2F2"/>
            <w:noWrap/>
            <w:hideMark/>
          </w:tcPr>
          <w:p w14:paraId="4DF97699" w14:textId="733727EA"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2,4%</w:t>
            </w:r>
          </w:p>
        </w:tc>
        <w:tc>
          <w:tcPr>
            <w:tcW w:w="856" w:type="dxa"/>
            <w:shd w:val="clear" w:color="auto" w:fill="F2F2F2"/>
          </w:tcPr>
          <w:p w14:paraId="5B351C10" w14:textId="26033E29"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2,5%</w:t>
            </w:r>
          </w:p>
        </w:tc>
        <w:tc>
          <w:tcPr>
            <w:tcW w:w="709" w:type="dxa"/>
            <w:shd w:val="clear" w:color="auto" w:fill="F2F2F2"/>
            <w:noWrap/>
            <w:vAlign w:val="bottom"/>
            <w:hideMark/>
          </w:tcPr>
          <w:p w14:paraId="7647A318" w14:textId="2C2BC767"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5%</w:t>
            </w:r>
          </w:p>
        </w:tc>
        <w:tc>
          <w:tcPr>
            <w:tcW w:w="793" w:type="dxa"/>
            <w:shd w:val="clear" w:color="auto" w:fill="F2F2F2"/>
            <w:noWrap/>
            <w:vAlign w:val="bottom"/>
            <w:hideMark/>
          </w:tcPr>
          <w:p w14:paraId="3548D5EB" w14:textId="209D183A"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10%</w:t>
            </w:r>
          </w:p>
        </w:tc>
        <w:tc>
          <w:tcPr>
            <w:tcW w:w="661" w:type="dxa"/>
            <w:shd w:val="clear" w:color="auto" w:fill="F2F2F2"/>
            <w:noWrap/>
            <w:vAlign w:val="bottom"/>
            <w:hideMark/>
          </w:tcPr>
          <w:p w14:paraId="46435823" w14:textId="2172231F"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15%</w:t>
            </w:r>
          </w:p>
        </w:tc>
        <w:tc>
          <w:tcPr>
            <w:tcW w:w="661" w:type="dxa"/>
            <w:shd w:val="clear" w:color="auto" w:fill="F2F2F2"/>
            <w:noWrap/>
            <w:vAlign w:val="bottom"/>
            <w:hideMark/>
          </w:tcPr>
          <w:p w14:paraId="2099004C" w14:textId="2A8F8E14"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19%</w:t>
            </w:r>
          </w:p>
        </w:tc>
        <w:tc>
          <w:tcPr>
            <w:tcW w:w="720" w:type="dxa"/>
            <w:shd w:val="clear" w:color="auto" w:fill="F2F2F2"/>
            <w:vAlign w:val="bottom"/>
          </w:tcPr>
          <w:p w14:paraId="0BF6253C" w14:textId="604A6463"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23%</w:t>
            </w:r>
          </w:p>
        </w:tc>
      </w:tr>
      <w:tr w:rsidR="00994B45" w:rsidRPr="00994B45" w14:paraId="5FB7B406" w14:textId="7CFF1FF2" w:rsidTr="00994B45">
        <w:trPr>
          <w:trHeight w:val="264"/>
        </w:trPr>
        <w:tc>
          <w:tcPr>
            <w:tcW w:w="1980" w:type="dxa"/>
            <w:shd w:val="clear" w:color="auto" w:fill="auto"/>
            <w:noWrap/>
            <w:hideMark/>
          </w:tcPr>
          <w:p w14:paraId="157DA018"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Tagamaalised</w:t>
            </w:r>
          </w:p>
        </w:tc>
        <w:tc>
          <w:tcPr>
            <w:tcW w:w="850" w:type="dxa"/>
            <w:shd w:val="clear" w:color="auto" w:fill="auto"/>
            <w:noWrap/>
            <w:hideMark/>
          </w:tcPr>
          <w:p w14:paraId="0F738260" w14:textId="3F46524D"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1,1%</w:t>
            </w:r>
          </w:p>
        </w:tc>
        <w:tc>
          <w:tcPr>
            <w:tcW w:w="851" w:type="dxa"/>
            <w:shd w:val="clear" w:color="auto" w:fill="auto"/>
            <w:noWrap/>
            <w:hideMark/>
          </w:tcPr>
          <w:p w14:paraId="5D5D658E" w14:textId="57946094"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2,2%</w:t>
            </w:r>
          </w:p>
        </w:tc>
        <w:tc>
          <w:tcPr>
            <w:tcW w:w="850" w:type="dxa"/>
            <w:shd w:val="clear" w:color="auto" w:fill="auto"/>
            <w:noWrap/>
            <w:hideMark/>
          </w:tcPr>
          <w:p w14:paraId="630DD9C4" w14:textId="1B9F9072"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3,0%</w:t>
            </w:r>
          </w:p>
        </w:tc>
        <w:tc>
          <w:tcPr>
            <w:tcW w:w="851" w:type="dxa"/>
            <w:shd w:val="clear" w:color="auto" w:fill="auto"/>
            <w:noWrap/>
            <w:hideMark/>
          </w:tcPr>
          <w:p w14:paraId="25682499" w14:textId="4E26360D"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3,6%</w:t>
            </w:r>
          </w:p>
        </w:tc>
        <w:tc>
          <w:tcPr>
            <w:tcW w:w="856" w:type="dxa"/>
          </w:tcPr>
          <w:p w14:paraId="6C5F9532" w14:textId="2AF47534"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3,7%</w:t>
            </w:r>
          </w:p>
        </w:tc>
        <w:tc>
          <w:tcPr>
            <w:tcW w:w="709" w:type="dxa"/>
            <w:shd w:val="clear" w:color="auto" w:fill="auto"/>
            <w:noWrap/>
            <w:vAlign w:val="bottom"/>
            <w:hideMark/>
          </w:tcPr>
          <w:p w14:paraId="2750C6BE" w14:textId="371C91B6"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6%</w:t>
            </w:r>
          </w:p>
        </w:tc>
        <w:tc>
          <w:tcPr>
            <w:tcW w:w="793" w:type="dxa"/>
            <w:shd w:val="clear" w:color="auto" w:fill="auto"/>
            <w:noWrap/>
            <w:vAlign w:val="bottom"/>
            <w:hideMark/>
          </w:tcPr>
          <w:p w14:paraId="60E53399" w14:textId="74D492F9"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12%</w:t>
            </w:r>
          </w:p>
        </w:tc>
        <w:tc>
          <w:tcPr>
            <w:tcW w:w="661" w:type="dxa"/>
            <w:shd w:val="clear" w:color="auto" w:fill="auto"/>
            <w:noWrap/>
            <w:vAlign w:val="bottom"/>
            <w:hideMark/>
          </w:tcPr>
          <w:p w14:paraId="53F966D9" w14:textId="09CD7BE0"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17%</w:t>
            </w:r>
          </w:p>
        </w:tc>
        <w:tc>
          <w:tcPr>
            <w:tcW w:w="661" w:type="dxa"/>
            <w:shd w:val="clear" w:color="auto" w:fill="auto"/>
            <w:noWrap/>
            <w:vAlign w:val="bottom"/>
            <w:hideMark/>
          </w:tcPr>
          <w:p w14:paraId="21EB6CC0" w14:textId="025E7936"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22%</w:t>
            </w:r>
          </w:p>
        </w:tc>
        <w:tc>
          <w:tcPr>
            <w:tcW w:w="720" w:type="dxa"/>
            <w:vAlign w:val="bottom"/>
          </w:tcPr>
          <w:p w14:paraId="62798D1C" w14:textId="7D5CB513"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26%</w:t>
            </w:r>
          </w:p>
        </w:tc>
      </w:tr>
      <w:tr w:rsidR="00994B45" w:rsidRPr="00994B45" w14:paraId="070BA033" w14:textId="6C27514C" w:rsidTr="00994B45">
        <w:trPr>
          <w:trHeight w:val="264"/>
        </w:trPr>
        <w:tc>
          <w:tcPr>
            <w:tcW w:w="1980" w:type="dxa"/>
            <w:shd w:val="clear" w:color="auto" w:fill="F2F2F2"/>
            <w:noWrap/>
            <w:hideMark/>
          </w:tcPr>
          <w:p w14:paraId="258245D0" w14:textId="77777777" w:rsidR="00994B45" w:rsidRPr="00994B45" w:rsidRDefault="00994B45" w:rsidP="00994B45">
            <w:pPr>
              <w:spacing w:after="0" w:line="240" w:lineRule="auto"/>
              <w:rPr>
                <w:rFonts w:ascii="Arial" w:hAnsi="Arial" w:cs="Arial"/>
                <w:color w:val="000000"/>
                <w:sz w:val="20"/>
                <w:szCs w:val="20"/>
                <w:lang w:eastAsia="et-EE"/>
              </w:rPr>
            </w:pPr>
            <w:r w:rsidRPr="00994B45">
              <w:rPr>
                <w:rFonts w:ascii="Arial" w:hAnsi="Arial" w:cs="Arial"/>
                <w:color w:val="000000"/>
                <w:sz w:val="20"/>
                <w:szCs w:val="20"/>
                <w:lang w:eastAsia="et-EE"/>
              </w:rPr>
              <w:t>KOKKU</w:t>
            </w:r>
          </w:p>
        </w:tc>
        <w:tc>
          <w:tcPr>
            <w:tcW w:w="850" w:type="dxa"/>
            <w:shd w:val="clear" w:color="auto" w:fill="F2F2F2"/>
            <w:noWrap/>
            <w:hideMark/>
          </w:tcPr>
          <w:p w14:paraId="11BD0B2A" w14:textId="7EE74468"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-0,2%</w:t>
            </w:r>
          </w:p>
        </w:tc>
        <w:tc>
          <w:tcPr>
            <w:tcW w:w="851" w:type="dxa"/>
            <w:shd w:val="clear" w:color="auto" w:fill="F2F2F2"/>
            <w:noWrap/>
            <w:hideMark/>
          </w:tcPr>
          <w:p w14:paraId="1C62127E" w14:textId="4FF9949A"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-0,2%</w:t>
            </w:r>
          </w:p>
        </w:tc>
        <w:tc>
          <w:tcPr>
            <w:tcW w:w="850" w:type="dxa"/>
            <w:shd w:val="clear" w:color="auto" w:fill="F2F2F2"/>
            <w:noWrap/>
            <w:hideMark/>
          </w:tcPr>
          <w:p w14:paraId="796C2324" w14:textId="482BC056"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-0,2%</w:t>
            </w:r>
          </w:p>
        </w:tc>
        <w:tc>
          <w:tcPr>
            <w:tcW w:w="851" w:type="dxa"/>
            <w:shd w:val="clear" w:color="auto" w:fill="F2F2F2"/>
            <w:noWrap/>
            <w:hideMark/>
          </w:tcPr>
          <w:p w14:paraId="448D2532" w14:textId="7A49DA8D"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-0,2%</w:t>
            </w:r>
          </w:p>
        </w:tc>
        <w:tc>
          <w:tcPr>
            <w:tcW w:w="856" w:type="dxa"/>
            <w:shd w:val="clear" w:color="auto" w:fill="F2F2F2"/>
          </w:tcPr>
          <w:p w14:paraId="4D2B8377" w14:textId="7E524B8E" w:rsidR="00994B45" w:rsidRPr="00994B45" w:rsidRDefault="00994B45" w:rsidP="00994B45">
            <w:pPr>
              <w:spacing w:after="0" w:line="240" w:lineRule="auto"/>
              <w:jc w:val="right"/>
              <w:rPr>
                <w:rFonts w:ascii="Arial" w:hAnsi="Arial" w:cs="Arial"/>
                <w:color w:val="000000"/>
                <w:sz w:val="20"/>
                <w:szCs w:val="20"/>
                <w:lang w:eastAsia="et-EE"/>
              </w:rPr>
            </w:pPr>
            <w:r w:rsidRPr="00994B45">
              <w:rPr>
                <w:sz w:val="20"/>
                <w:szCs w:val="20"/>
              </w:rPr>
              <w:t>-0,2%</w:t>
            </w:r>
          </w:p>
        </w:tc>
        <w:tc>
          <w:tcPr>
            <w:tcW w:w="709" w:type="dxa"/>
            <w:shd w:val="clear" w:color="auto" w:fill="F2F2F2"/>
            <w:noWrap/>
            <w:vAlign w:val="bottom"/>
            <w:hideMark/>
          </w:tcPr>
          <w:p w14:paraId="75D8D896" w14:textId="34F260CB"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5%</w:t>
            </w:r>
          </w:p>
        </w:tc>
        <w:tc>
          <w:tcPr>
            <w:tcW w:w="793" w:type="dxa"/>
            <w:shd w:val="clear" w:color="auto" w:fill="F2F2F2"/>
            <w:noWrap/>
            <w:vAlign w:val="bottom"/>
            <w:hideMark/>
          </w:tcPr>
          <w:p w14:paraId="1AF9E223" w14:textId="096C1B7D"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10%</w:t>
            </w:r>
          </w:p>
        </w:tc>
        <w:tc>
          <w:tcPr>
            <w:tcW w:w="661" w:type="dxa"/>
            <w:shd w:val="clear" w:color="auto" w:fill="F2F2F2"/>
            <w:noWrap/>
            <w:vAlign w:val="bottom"/>
            <w:hideMark/>
          </w:tcPr>
          <w:p w14:paraId="7F652510" w14:textId="78653A2A"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14%</w:t>
            </w:r>
          </w:p>
        </w:tc>
        <w:tc>
          <w:tcPr>
            <w:tcW w:w="661" w:type="dxa"/>
            <w:shd w:val="clear" w:color="auto" w:fill="F2F2F2"/>
            <w:noWrap/>
            <w:vAlign w:val="bottom"/>
            <w:hideMark/>
          </w:tcPr>
          <w:p w14:paraId="664BDA89" w14:textId="54564EA8"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18%</w:t>
            </w:r>
          </w:p>
        </w:tc>
        <w:tc>
          <w:tcPr>
            <w:tcW w:w="720" w:type="dxa"/>
            <w:shd w:val="clear" w:color="auto" w:fill="F2F2F2"/>
            <w:vAlign w:val="bottom"/>
          </w:tcPr>
          <w:p w14:paraId="3B66C08E" w14:textId="0E1455E8" w:rsidR="00994B45" w:rsidRPr="00994B45" w:rsidRDefault="00994B45" w:rsidP="00994B45">
            <w:pPr>
              <w:spacing w:after="0" w:line="240" w:lineRule="auto"/>
              <w:jc w:val="right"/>
              <w:rPr>
                <w:rFonts w:ascii="Arial" w:hAnsi="Arial" w:cs="Arial"/>
                <w:color w:val="000000"/>
                <w:sz w:val="20"/>
                <w:szCs w:val="20"/>
                <w:lang w:eastAsia="et-EE"/>
              </w:rPr>
            </w:pPr>
            <w:r w:rsidRPr="00994B45">
              <w:rPr>
                <w:rFonts w:ascii="Arial" w:hAnsi="Arial" w:cs="Arial"/>
                <w:color w:val="000000"/>
                <w:sz w:val="20"/>
                <w:szCs w:val="20"/>
              </w:rPr>
              <w:t>23%</w:t>
            </w:r>
          </w:p>
        </w:tc>
      </w:tr>
      <w:bookmarkEnd w:id="1"/>
    </w:tbl>
    <w:p w14:paraId="640D839D" w14:textId="77777777" w:rsidR="000B41E5" w:rsidRPr="00F11C29" w:rsidRDefault="000B41E5" w:rsidP="000B41E5">
      <w:pPr>
        <w:spacing w:after="0" w:line="240" w:lineRule="auto"/>
        <w:jc w:val="both"/>
        <w:rPr>
          <w:sz w:val="24"/>
          <w:szCs w:val="24"/>
        </w:rPr>
      </w:pPr>
    </w:p>
    <w:p w14:paraId="757F1BFD" w14:textId="1E52F6EB" w:rsidR="000B41E5" w:rsidRPr="00F11C29" w:rsidRDefault="000B41E5" w:rsidP="000B41E5">
      <w:pPr>
        <w:spacing w:after="0" w:line="240" w:lineRule="auto"/>
        <w:jc w:val="both"/>
        <w:rPr>
          <w:sz w:val="24"/>
          <w:szCs w:val="24"/>
        </w:rPr>
      </w:pPr>
      <w:r w:rsidRPr="00F11C29">
        <w:rPr>
          <w:sz w:val="24"/>
          <w:szCs w:val="24"/>
        </w:rPr>
        <w:t>Muudatuste tulemusel oleks ümberjaotatav summa 202</w:t>
      </w:r>
      <w:r w:rsidR="00994B45">
        <w:rPr>
          <w:sz w:val="24"/>
          <w:szCs w:val="24"/>
        </w:rPr>
        <w:t>9</w:t>
      </w:r>
      <w:r w:rsidRPr="00F11C29">
        <w:rPr>
          <w:sz w:val="24"/>
          <w:szCs w:val="24"/>
        </w:rPr>
        <w:t>. a 3</w:t>
      </w:r>
      <w:r w:rsidR="00994B45">
        <w:rPr>
          <w:sz w:val="24"/>
          <w:szCs w:val="24"/>
        </w:rPr>
        <w:t>9</w:t>
      </w:r>
      <w:r w:rsidRPr="00F11C29">
        <w:rPr>
          <w:sz w:val="24"/>
          <w:szCs w:val="24"/>
        </w:rPr>
        <w:t xml:space="preserve"> mln eurot.</w:t>
      </w:r>
    </w:p>
    <w:p w14:paraId="45AD0618" w14:textId="77777777" w:rsidR="009202FD" w:rsidRDefault="009202FD" w:rsidP="000B41E5">
      <w:pPr>
        <w:spacing w:after="0" w:line="240" w:lineRule="auto"/>
        <w:jc w:val="both"/>
        <w:rPr>
          <w:sz w:val="24"/>
          <w:szCs w:val="24"/>
        </w:rPr>
      </w:pPr>
    </w:p>
    <w:p w14:paraId="62EE8CBD" w14:textId="77777777" w:rsidR="000B41E5" w:rsidRPr="00AC0D58" w:rsidRDefault="000B41E5" w:rsidP="000B41E5">
      <w:pPr>
        <w:spacing w:after="0" w:line="240" w:lineRule="auto"/>
        <w:jc w:val="both"/>
        <w:rPr>
          <w:b/>
          <w:bCs/>
          <w:sz w:val="24"/>
          <w:szCs w:val="24"/>
        </w:rPr>
      </w:pPr>
      <w:r w:rsidRPr="00AC0D58">
        <w:rPr>
          <w:b/>
          <w:bCs/>
          <w:sz w:val="24"/>
          <w:szCs w:val="24"/>
        </w:rPr>
        <w:t>NB! KOV gruppides prognoosi tegemisel on lähtutud 2023. a augusti majandusprognoosi tulumaksu keskmisest kasvust</w:t>
      </w:r>
      <w:r w:rsidRPr="00AC0D58">
        <w:rPr>
          <w:rStyle w:val="FootnoteReference"/>
          <w:b/>
          <w:bCs/>
          <w:sz w:val="24"/>
          <w:szCs w:val="24"/>
        </w:rPr>
        <w:t xml:space="preserve"> </w:t>
      </w:r>
      <w:r w:rsidRPr="00AC0D58">
        <w:rPr>
          <w:b/>
          <w:bCs/>
          <w:sz w:val="24"/>
          <w:szCs w:val="24"/>
        </w:rPr>
        <w:t xml:space="preserve">iga KOV puhul, et välja selgitada muudatuste puhasmõju. Arvutused ei sisalda KOV põhist maksumaksjate ja elanike arvu muutust. </w:t>
      </w:r>
    </w:p>
    <w:p w14:paraId="749A2485" w14:textId="77777777" w:rsidR="000B41E5" w:rsidRDefault="000B41E5" w:rsidP="000B41E5">
      <w:pPr>
        <w:spacing w:after="0" w:line="240" w:lineRule="auto"/>
        <w:jc w:val="both"/>
        <w:rPr>
          <w:sz w:val="24"/>
          <w:szCs w:val="24"/>
        </w:rPr>
      </w:pPr>
    </w:p>
    <w:p w14:paraId="5877F7CE" w14:textId="77777777" w:rsidR="000B41E5" w:rsidRPr="0071438B" w:rsidRDefault="000B41E5" w:rsidP="000B41E5">
      <w:pPr>
        <w:spacing w:after="0" w:line="240" w:lineRule="auto"/>
        <w:jc w:val="both"/>
        <w:rPr>
          <w:b/>
          <w:bCs/>
          <w:sz w:val="24"/>
          <w:szCs w:val="24"/>
        </w:rPr>
      </w:pPr>
      <w:r w:rsidRPr="0071438B">
        <w:rPr>
          <w:b/>
          <w:bCs/>
          <w:sz w:val="24"/>
          <w:szCs w:val="24"/>
        </w:rPr>
        <w:t xml:space="preserve">Uus </w:t>
      </w:r>
      <w:r>
        <w:rPr>
          <w:b/>
          <w:bCs/>
          <w:sz w:val="24"/>
          <w:szCs w:val="24"/>
        </w:rPr>
        <w:t xml:space="preserve">kevadine </w:t>
      </w:r>
      <w:r w:rsidRPr="0071438B">
        <w:rPr>
          <w:b/>
          <w:bCs/>
          <w:sz w:val="24"/>
          <w:szCs w:val="24"/>
        </w:rPr>
        <w:t xml:space="preserve">majandusprognoos muudab KOV tulubaasi ümberkorralduse mõjusid ebaolulisel määral. Eelnõu esitamisel muudetakse mõjuanalüüsi sellest lähtuvalt. </w:t>
      </w:r>
    </w:p>
    <w:p w14:paraId="0D6A6C7C" w14:textId="77777777" w:rsidR="000B41E5" w:rsidRPr="00AC0D58" w:rsidRDefault="000B41E5" w:rsidP="000B41E5">
      <w:pPr>
        <w:spacing w:after="0" w:line="240" w:lineRule="auto"/>
        <w:jc w:val="both"/>
        <w:rPr>
          <w:sz w:val="24"/>
          <w:szCs w:val="24"/>
        </w:rPr>
      </w:pPr>
    </w:p>
    <w:p w14:paraId="46D091EF" w14:textId="77777777" w:rsidR="000B41E5" w:rsidRPr="00AC0D58" w:rsidRDefault="000B41E5" w:rsidP="000B41E5">
      <w:pPr>
        <w:spacing w:after="0" w:line="240" w:lineRule="auto"/>
        <w:jc w:val="both"/>
        <w:rPr>
          <w:sz w:val="24"/>
          <w:szCs w:val="24"/>
        </w:rPr>
      </w:pPr>
      <w:r w:rsidRPr="00AC0D58">
        <w:rPr>
          <w:sz w:val="24"/>
          <w:szCs w:val="24"/>
        </w:rPr>
        <w:t>Muudatus ei vähenda Harjumaa KOVide praegust tulubaasi, vaid väheneb tulevikus aset leidev tulumaksu kasv. Samas on Harjumaa KOVide viimase 10 a tulumaksu kasv olnud elanike arvu kiire kasvu tõttu Eesti keskmisest suurem</w:t>
      </w:r>
      <w:r w:rsidRPr="00AC0D58">
        <w:rPr>
          <w:rStyle w:val="FootnoteReference"/>
          <w:sz w:val="24"/>
          <w:szCs w:val="24"/>
        </w:rPr>
        <w:footnoteReference w:id="13"/>
      </w:r>
      <w:r w:rsidRPr="00AC0D58">
        <w:rPr>
          <w:sz w:val="24"/>
          <w:szCs w:val="24"/>
        </w:rPr>
        <w:t>. See tähendab, et Harjumaa KOVide puhul võib eeldada, et tegelikud tulumaksu kasvud saavad olema suuremad kui tabelis nr 3.</w:t>
      </w:r>
    </w:p>
    <w:p w14:paraId="4A7B6334" w14:textId="77777777" w:rsidR="000B41E5" w:rsidRPr="00AC0D58" w:rsidRDefault="000B41E5" w:rsidP="000B41E5">
      <w:pPr>
        <w:spacing w:after="0" w:line="240" w:lineRule="auto"/>
        <w:jc w:val="both"/>
        <w:rPr>
          <w:sz w:val="24"/>
          <w:szCs w:val="24"/>
        </w:rPr>
      </w:pPr>
    </w:p>
    <w:p w14:paraId="33710338" w14:textId="77777777" w:rsidR="00994B45" w:rsidRDefault="00994B45" w:rsidP="000B41E5">
      <w:pPr>
        <w:spacing w:after="0" w:line="240" w:lineRule="auto"/>
        <w:jc w:val="both"/>
        <w:rPr>
          <w:sz w:val="24"/>
          <w:szCs w:val="24"/>
        </w:rPr>
      </w:pPr>
    </w:p>
    <w:p w14:paraId="250F2A7F" w14:textId="77777777" w:rsidR="00994B45" w:rsidRDefault="00994B45" w:rsidP="000B41E5">
      <w:pPr>
        <w:spacing w:after="0" w:line="240" w:lineRule="auto"/>
        <w:jc w:val="both"/>
        <w:rPr>
          <w:sz w:val="24"/>
          <w:szCs w:val="24"/>
        </w:rPr>
      </w:pPr>
    </w:p>
    <w:p w14:paraId="4D3D375C" w14:textId="77777777" w:rsidR="00994B45" w:rsidRDefault="00994B45" w:rsidP="000B41E5">
      <w:pPr>
        <w:spacing w:after="0" w:line="240" w:lineRule="auto"/>
        <w:jc w:val="both"/>
        <w:rPr>
          <w:sz w:val="24"/>
          <w:szCs w:val="24"/>
        </w:rPr>
      </w:pPr>
    </w:p>
    <w:p w14:paraId="49E5E7E3" w14:textId="77777777" w:rsidR="00994B45" w:rsidRDefault="00994B45" w:rsidP="000B41E5">
      <w:pPr>
        <w:spacing w:after="0" w:line="240" w:lineRule="auto"/>
        <w:jc w:val="both"/>
        <w:rPr>
          <w:sz w:val="24"/>
          <w:szCs w:val="24"/>
        </w:rPr>
      </w:pPr>
    </w:p>
    <w:p w14:paraId="0BC9F3DF" w14:textId="77777777" w:rsidR="00994B45" w:rsidRDefault="00994B45" w:rsidP="000B41E5">
      <w:pPr>
        <w:spacing w:after="0" w:line="240" w:lineRule="auto"/>
        <w:jc w:val="both"/>
        <w:rPr>
          <w:sz w:val="24"/>
          <w:szCs w:val="24"/>
        </w:rPr>
      </w:pPr>
    </w:p>
    <w:p w14:paraId="7ACF7821" w14:textId="77777777" w:rsidR="00994B45" w:rsidRDefault="00994B45" w:rsidP="000B41E5">
      <w:pPr>
        <w:spacing w:after="0" w:line="240" w:lineRule="auto"/>
        <w:jc w:val="both"/>
        <w:rPr>
          <w:sz w:val="24"/>
          <w:szCs w:val="24"/>
        </w:rPr>
      </w:pPr>
    </w:p>
    <w:p w14:paraId="3B474872" w14:textId="77777777" w:rsidR="00994B45" w:rsidRDefault="00994B45" w:rsidP="000B41E5">
      <w:pPr>
        <w:spacing w:after="0" w:line="240" w:lineRule="auto"/>
        <w:jc w:val="both"/>
        <w:rPr>
          <w:sz w:val="24"/>
          <w:szCs w:val="24"/>
        </w:rPr>
      </w:pPr>
    </w:p>
    <w:p w14:paraId="47372550" w14:textId="77777777" w:rsidR="00994B45" w:rsidRDefault="00994B45" w:rsidP="000B41E5">
      <w:pPr>
        <w:spacing w:after="0" w:line="240" w:lineRule="auto"/>
        <w:jc w:val="both"/>
        <w:rPr>
          <w:sz w:val="24"/>
          <w:szCs w:val="24"/>
        </w:rPr>
      </w:pPr>
    </w:p>
    <w:p w14:paraId="611CFD7D" w14:textId="77777777" w:rsidR="00994B45" w:rsidRDefault="00994B45" w:rsidP="000B41E5">
      <w:pPr>
        <w:spacing w:after="0" w:line="240" w:lineRule="auto"/>
        <w:jc w:val="both"/>
        <w:rPr>
          <w:sz w:val="24"/>
          <w:szCs w:val="24"/>
        </w:rPr>
      </w:pPr>
    </w:p>
    <w:p w14:paraId="13ED98BD" w14:textId="77777777" w:rsidR="00994B45" w:rsidRDefault="00994B45" w:rsidP="000B41E5">
      <w:pPr>
        <w:spacing w:after="0" w:line="240" w:lineRule="auto"/>
        <w:jc w:val="both"/>
        <w:rPr>
          <w:sz w:val="24"/>
          <w:szCs w:val="24"/>
        </w:rPr>
      </w:pPr>
    </w:p>
    <w:p w14:paraId="0681F7D0" w14:textId="77777777" w:rsidR="00994B45" w:rsidRDefault="00994B45" w:rsidP="000B41E5">
      <w:pPr>
        <w:spacing w:after="0" w:line="240" w:lineRule="auto"/>
        <w:jc w:val="both"/>
        <w:rPr>
          <w:sz w:val="24"/>
          <w:szCs w:val="24"/>
        </w:rPr>
      </w:pPr>
    </w:p>
    <w:p w14:paraId="5678580D" w14:textId="77777777" w:rsidR="00994B45" w:rsidRDefault="00994B45" w:rsidP="000B41E5">
      <w:pPr>
        <w:spacing w:after="0" w:line="240" w:lineRule="auto"/>
        <w:jc w:val="both"/>
        <w:rPr>
          <w:sz w:val="24"/>
          <w:szCs w:val="24"/>
        </w:rPr>
      </w:pPr>
    </w:p>
    <w:p w14:paraId="0AF14F71" w14:textId="77777777" w:rsidR="00994B45" w:rsidRDefault="00994B45" w:rsidP="000B41E5">
      <w:pPr>
        <w:spacing w:after="0" w:line="240" w:lineRule="auto"/>
        <w:jc w:val="both"/>
        <w:rPr>
          <w:sz w:val="24"/>
          <w:szCs w:val="24"/>
        </w:rPr>
      </w:pPr>
    </w:p>
    <w:p w14:paraId="08B2A520" w14:textId="77777777" w:rsidR="00994B45" w:rsidRDefault="00994B45" w:rsidP="000B41E5">
      <w:pPr>
        <w:spacing w:after="0" w:line="240" w:lineRule="auto"/>
        <w:jc w:val="both"/>
        <w:rPr>
          <w:sz w:val="24"/>
          <w:szCs w:val="24"/>
        </w:rPr>
      </w:pPr>
    </w:p>
    <w:p w14:paraId="5ED5AA89" w14:textId="77777777" w:rsidR="00994B45" w:rsidRDefault="00994B45" w:rsidP="000B41E5">
      <w:pPr>
        <w:spacing w:after="0" w:line="240" w:lineRule="auto"/>
        <w:jc w:val="both"/>
        <w:rPr>
          <w:sz w:val="24"/>
          <w:szCs w:val="24"/>
        </w:rPr>
      </w:pPr>
    </w:p>
    <w:p w14:paraId="765BF8EB" w14:textId="77777777" w:rsidR="00994B45" w:rsidRDefault="00994B45" w:rsidP="000B41E5">
      <w:pPr>
        <w:spacing w:after="0" w:line="240" w:lineRule="auto"/>
        <w:jc w:val="both"/>
        <w:rPr>
          <w:sz w:val="24"/>
          <w:szCs w:val="24"/>
        </w:rPr>
      </w:pPr>
    </w:p>
    <w:p w14:paraId="7A999283" w14:textId="7C5B9765" w:rsidR="000B41E5" w:rsidRPr="00AC0D58" w:rsidRDefault="000B41E5" w:rsidP="000B41E5">
      <w:pPr>
        <w:spacing w:after="0" w:line="240" w:lineRule="auto"/>
        <w:jc w:val="both"/>
        <w:rPr>
          <w:sz w:val="24"/>
          <w:szCs w:val="24"/>
        </w:rPr>
      </w:pPr>
      <w:r w:rsidRPr="00AC0D58">
        <w:rPr>
          <w:sz w:val="24"/>
          <w:szCs w:val="24"/>
        </w:rPr>
        <w:lastRenderedPageBreak/>
        <w:t xml:space="preserve">Joonis </w:t>
      </w:r>
      <w:r w:rsidR="00994B45">
        <w:rPr>
          <w:sz w:val="24"/>
          <w:szCs w:val="24"/>
        </w:rPr>
        <w:t>9</w:t>
      </w:r>
      <w:r w:rsidRPr="00AC0D58">
        <w:rPr>
          <w:sz w:val="24"/>
          <w:szCs w:val="24"/>
        </w:rPr>
        <w:t xml:space="preserve"> KOV tulumaksu, maamaksu ja tasandusfondi laekumine suhestatuna demograafilist koosseisu arvestavasse kuluvajadusse</w:t>
      </w:r>
      <w:r w:rsidRPr="00AC0D58">
        <w:rPr>
          <w:rStyle w:val="FootnoteReference"/>
          <w:sz w:val="24"/>
          <w:szCs w:val="24"/>
        </w:rPr>
        <w:footnoteReference w:id="14"/>
      </w:r>
      <w:r w:rsidRPr="00AC0D58">
        <w:rPr>
          <w:sz w:val="24"/>
          <w:szCs w:val="24"/>
        </w:rPr>
        <w:t xml:space="preserve"> 2028. aastal </w:t>
      </w:r>
    </w:p>
    <w:p w14:paraId="70969683" w14:textId="0258E154" w:rsidR="000B41E5" w:rsidRPr="00D01348" w:rsidRDefault="000B41E5" w:rsidP="000B41E5">
      <w:pPr>
        <w:spacing w:after="0" w:line="240" w:lineRule="auto"/>
        <w:jc w:val="both"/>
        <w:rPr>
          <w:i/>
          <w:iCs/>
          <w:sz w:val="24"/>
          <w:szCs w:val="24"/>
          <w:highlight w:val="yellow"/>
        </w:rPr>
      </w:pPr>
      <w:r w:rsidRPr="00456482">
        <w:rPr>
          <w:noProof/>
        </w:rPr>
        <w:drawing>
          <wp:inline distT="0" distB="0" distL="0" distR="0" wp14:anchorId="2400BB84" wp14:editId="00B119F3">
            <wp:extent cx="5940425" cy="3152633"/>
            <wp:effectExtent l="0" t="0" r="3175" b="1016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190138" w14:textId="77777777" w:rsidR="000B41E5" w:rsidRPr="00D01348" w:rsidRDefault="000B41E5" w:rsidP="000B41E5">
      <w:pPr>
        <w:spacing w:after="0" w:line="240" w:lineRule="auto"/>
        <w:jc w:val="both"/>
        <w:rPr>
          <w:i/>
          <w:iCs/>
          <w:sz w:val="24"/>
          <w:szCs w:val="24"/>
          <w:highlight w:val="yellow"/>
        </w:rPr>
      </w:pPr>
    </w:p>
    <w:p w14:paraId="4650B542" w14:textId="77777777" w:rsidR="000B41E5" w:rsidRPr="00B22B01" w:rsidRDefault="000B41E5" w:rsidP="000B41E5">
      <w:pPr>
        <w:spacing w:after="0" w:line="240" w:lineRule="auto"/>
        <w:jc w:val="both"/>
        <w:rPr>
          <w:sz w:val="24"/>
          <w:szCs w:val="24"/>
        </w:rPr>
      </w:pPr>
      <w:r w:rsidRPr="00AC0D58">
        <w:rPr>
          <w:sz w:val="24"/>
          <w:szCs w:val="24"/>
        </w:rPr>
        <w:t>Joonise</w:t>
      </w:r>
      <w:r>
        <w:rPr>
          <w:sz w:val="24"/>
          <w:szCs w:val="24"/>
        </w:rPr>
        <w:t>lt</w:t>
      </w:r>
      <w:r w:rsidRPr="00AC0D58">
        <w:rPr>
          <w:sz w:val="24"/>
          <w:szCs w:val="24"/>
        </w:rPr>
        <w:t xml:space="preserve"> on näha, et muudatusega tõstetakse enamike vähem tulukate KOVide tulubaasi kuluvajadusega võrreldes kõrgemale võrreldes olukorraga, kus muudatusi ei tehtaks.</w:t>
      </w:r>
    </w:p>
    <w:p w14:paraId="21467EBE" w14:textId="77777777" w:rsidR="000B41E5" w:rsidRPr="00E82634" w:rsidRDefault="000B41E5" w:rsidP="000B41E5">
      <w:pPr>
        <w:spacing w:after="0" w:line="240" w:lineRule="auto"/>
        <w:jc w:val="both"/>
        <w:rPr>
          <w:b/>
          <w:bCs/>
          <w:sz w:val="24"/>
          <w:szCs w:val="24"/>
        </w:rPr>
      </w:pPr>
    </w:p>
    <w:p w14:paraId="45F97387" w14:textId="247D0BF6" w:rsidR="00050DA1" w:rsidRPr="00050DA1" w:rsidRDefault="00050DA1" w:rsidP="00050DA1">
      <w:pPr>
        <w:spacing w:after="0" w:line="240" w:lineRule="auto"/>
        <w:rPr>
          <w:color w:val="2E74B5" w:themeColor="accent5" w:themeShade="BF"/>
          <w:sz w:val="24"/>
          <w:szCs w:val="24"/>
        </w:rPr>
      </w:pPr>
      <w:r w:rsidRPr="00050DA1">
        <w:rPr>
          <w:color w:val="2E74B5" w:themeColor="accent5" w:themeShade="BF"/>
          <w:sz w:val="24"/>
          <w:szCs w:val="24"/>
        </w:rPr>
        <w:t>Ettepanekud:</w:t>
      </w:r>
    </w:p>
    <w:p w14:paraId="0DD1D7D7" w14:textId="77777777" w:rsidR="00050DA1" w:rsidRPr="00050DA1" w:rsidRDefault="00050DA1" w:rsidP="00050DA1">
      <w:pPr>
        <w:numPr>
          <w:ilvl w:val="0"/>
          <w:numId w:val="13"/>
        </w:numPr>
        <w:spacing w:after="0" w:line="240" w:lineRule="auto"/>
        <w:rPr>
          <w:color w:val="2E74B5" w:themeColor="accent5" w:themeShade="BF"/>
          <w:sz w:val="24"/>
          <w:szCs w:val="24"/>
        </w:rPr>
      </w:pPr>
      <w:r w:rsidRPr="00050DA1">
        <w:rPr>
          <w:color w:val="2E74B5" w:themeColor="accent5" w:themeShade="BF"/>
          <w:sz w:val="24"/>
          <w:szCs w:val="24"/>
        </w:rPr>
        <w:t>KOVidele laekuva tulumaksu osa arvestamise määrad:</w:t>
      </w:r>
    </w:p>
    <w:p w14:paraId="465205C2" w14:textId="77777777" w:rsidR="00050DA1" w:rsidRPr="00050DA1" w:rsidRDefault="00050DA1" w:rsidP="00050DA1">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2025. a pensionituludelt 5,50% ja muudelt tuludelt 11,29%;</w:t>
      </w:r>
    </w:p>
    <w:p w14:paraId="53B3B539" w14:textId="77777777" w:rsidR="00050DA1" w:rsidRPr="00050DA1" w:rsidRDefault="00050DA1" w:rsidP="00050DA1">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2026. a pensionituludelt 8,50% ja muudelt tuludelt 10,64%;</w:t>
      </w:r>
    </w:p>
    <w:p w14:paraId="303C2C11" w14:textId="77777777" w:rsidR="00050DA1" w:rsidRPr="00050DA1" w:rsidRDefault="00050DA1" w:rsidP="00050DA1">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alates 2027. a pensionituludelt 10,23% ja muudelt tuludelt 10,23%;</w:t>
      </w:r>
    </w:p>
    <w:p w14:paraId="0F735248" w14:textId="77777777" w:rsidR="00050DA1" w:rsidRPr="00050DA1" w:rsidRDefault="00050DA1" w:rsidP="00050DA1">
      <w:pPr>
        <w:numPr>
          <w:ilvl w:val="0"/>
          <w:numId w:val="13"/>
        </w:numPr>
        <w:spacing w:after="0" w:line="240" w:lineRule="auto"/>
        <w:rPr>
          <w:color w:val="2E74B5" w:themeColor="accent5" w:themeShade="BF"/>
          <w:sz w:val="24"/>
          <w:szCs w:val="24"/>
        </w:rPr>
      </w:pPr>
      <w:r w:rsidRPr="00050DA1">
        <w:rPr>
          <w:color w:val="2E74B5" w:themeColor="accent5" w:themeShade="BF"/>
          <w:sz w:val="24"/>
          <w:szCs w:val="24"/>
        </w:rPr>
        <w:t>KOVidele laekuva tulubaasi (tulumaks ja tasandusfond) vähenemise kompensatsioon:</w:t>
      </w:r>
    </w:p>
    <w:p w14:paraId="56286048" w14:textId="77777777" w:rsidR="00050DA1" w:rsidRPr="00050DA1" w:rsidRDefault="00050DA1" w:rsidP="00050DA1">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2025. a ei või väheneda üle 1,5% võrreldes stsenaariumiga, kui midagi ei muudeta;</w:t>
      </w:r>
    </w:p>
    <w:p w14:paraId="660298F9" w14:textId="77777777" w:rsidR="00050DA1" w:rsidRPr="00050DA1" w:rsidRDefault="00050DA1" w:rsidP="00050DA1">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2026. a ei või väheneda üle 2,0% võrreldes stsenaariumiga, kui midagi ei muudeta;</w:t>
      </w:r>
    </w:p>
    <w:p w14:paraId="0CB37B1A" w14:textId="77777777" w:rsidR="00050DA1" w:rsidRPr="00050DA1" w:rsidRDefault="00050DA1" w:rsidP="00050DA1">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2027. a ei või väheneda üle 2,5% võrreldes stsenaariumiga, kui midagi ei muudeta;</w:t>
      </w:r>
    </w:p>
    <w:p w14:paraId="5C864479" w14:textId="77777777" w:rsidR="00050DA1" w:rsidRDefault="00050DA1" w:rsidP="00050DA1">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2028. a ei või väheneda üle 3,0% võrreldes stsenaariumiga, kui midagi ei muudeta;</w:t>
      </w:r>
    </w:p>
    <w:p w14:paraId="49EFDA38" w14:textId="5DE42502" w:rsidR="00994B45" w:rsidRDefault="00994B45" w:rsidP="00994B45">
      <w:pPr>
        <w:numPr>
          <w:ilvl w:val="0"/>
          <w:numId w:val="14"/>
        </w:numPr>
        <w:spacing w:after="0" w:line="240" w:lineRule="auto"/>
        <w:rPr>
          <w:color w:val="2E74B5" w:themeColor="accent5" w:themeShade="BF"/>
          <w:sz w:val="24"/>
          <w:szCs w:val="24"/>
        </w:rPr>
      </w:pPr>
      <w:r w:rsidRPr="00050DA1">
        <w:rPr>
          <w:color w:val="2E74B5" w:themeColor="accent5" w:themeShade="BF"/>
          <w:sz w:val="24"/>
          <w:szCs w:val="24"/>
        </w:rPr>
        <w:t>202</w:t>
      </w:r>
      <w:r w:rsidR="000108D0">
        <w:rPr>
          <w:color w:val="2E74B5" w:themeColor="accent5" w:themeShade="BF"/>
          <w:sz w:val="24"/>
          <w:szCs w:val="24"/>
        </w:rPr>
        <w:t>9</w:t>
      </w:r>
      <w:r w:rsidRPr="00050DA1">
        <w:rPr>
          <w:color w:val="2E74B5" w:themeColor="accent5" w:themeShade="BF"/>
          <w:sz w:val="24"/>
          <w:szCs w:val="24"/>
        </w:rPr>
        <w:t>. a ei või väheneda üle 3,0% võrreldes stsenaariumiga, kui midagi ei muudeta</w:t>
      </w:r>
      <w:r>
        <w:rPr>
          <w:color w:val="2E74B5" w:themeColor="accent5" w:themeShade="BF"/>
          <w:sz w:val="24"/>
          <w:szCs w:val="24"/>
        </w:rPr>
        <w:t>.</w:t>
      </w:r>
    </w:p>
    <w:p w14:paraId="0CB2ADB3" w14:textId="77777777" w:rsidR="00994B45" w:rsidRPr="00050DA1" w:rsidRDefault="00994B45" w:rsidP="00994B45">
      <w:pPr>
        <w:spacing w:after="0" w:line="240" w:lineRule="auto"/>
        <w:ind w:left="720"/>
        <w:rPr>
          <w:color w:val="2E74B5" w:themeColor="accent5" w:themeShade="BF"/>
          <w:sz w:val="24"/>
          <w:szCs w:val="24"/>
        </w:rPr>
      </w:pPr>
    </w:p>
    <w:p w14:paraId="34508394" w14:textId="2ACE0EC3" w:rsidR="001B6A2C" w:rsidRPr="00D35664" w:rsidRDefault="001B6A2C" w:rsidP="005E2EBB">
      <w:pPr>
        <w:pStyle w:val="ListParagraph"/>
        <w:numPr>
          <w:ilvl w:val="0"/>
          <w:numId w:val="12"/>
        </w:numPr>
        <w:rPr>
          <w:rFonts w:cstheme="minorHAnsi"/>
          <w:b/>
          <w:bCs/>
          <w:sz w:val="24"/>
          <w:szCs w:val="24"/>
        </w:rPr>
      </w:pPr>
      <w:r w:rsidRPr="00D35664">
        <w:rPr>
          <w:b/>
          <w:bCs/>
          <w:sz w:val="24"/>
          <w:szCs w:val="24"/>
        </w:rPr>
        <w:t>Maamaksu määramisel KOV autonoomia suurendamine</w:t>
      </w:r>
    </w:p>
    <w:p w14:paraId="4F7406E3" w14:textId="77777777" w:rsidR="00D35664" w:rsidRDefault="00D35664" w:rsidP="005E2EBB">
      <w:pPr>
        <w:pStyle w:val="NormalWeb"/>
        <w:jc w:val="both"/>
        <w:rPr>
          <w:rFonts w:asciiTheme="minorHAnsi" w:hAnsiTheme="minorHAnsi" w:cstheme="minorHAnsi"/>
        </w:rPr>
      </w:pPr>
    </w:p>
    <w:p w14:paraId="0FD4837C" w14:textId="2756FEA7" w:rsidR="001B6A2C" w:rsidRPr="00534832" w:rsidRDefault="001B6A2C" w:rsidP="005E2EBB">
      <w:pPr>
        <w:pStyle w:val="NormalWeb"/>
        <w:jc w:val="both"/>
        <w:rPr>
          <w:rFonts w:asciiTheme="minorHAnsi" w:hAnsiTheme="minorHAnsi" w:cstheme="minorHAnsi"/>
        </w:rPr>
      </w:pPr>
      <w:r w:rsidRPr="00534832">
        <w:rPr>
          <w:rFonts w:asciiTheme="minorHAnsi" w:hAnsiTheme="minorHAnsi" w:cstheme="minorHAnsi"/>
        </w:rPr>
        <w:t>Maa on piiratud ressurss ning maade maksustamine peab suunama maa omanikke või kasutajaid kasutama seda ühiskonna heaolu ja majanduskasvu edendaval viisil. Üldlevinud on printsiip, et maade maksustamine põhineb maa turuväärtusel, mis sõltub eelkõige maa asukohast ja vähemal määral ka kasutamise võimalustest. Mida suuremat heaolu või tulu on maa kasutamisest võimalik saada, seda suurem on maamaks. Samal ajal ei tohi maamaks liigselt pärssida maa kasutamisest tulu teenimist.</w:t>
      </w:r>
    </w:p>
    <w:p w14:paraId="66C4E0CB" w14:textId="77777777" w:rsidR="001B6A2C" w:rsidRPr="00534832" w:rsidRDefault="001B6A2C" w:rsidP="005E2EBB">
      <w:pPr>
        <w:spacing w:after="0" w:line="240" w:lineRule="auto"/>
        <w:jc w:val="both"/>
        <w:rPr>
          <w:rFonts w:cstheme="minorHAnsi"/>
          <w:sz w:val="24"/>
          <w:szCs w:val="24"/>
          <w:u w:val="single"/>
        </w:rPr>
      </w:pPr>
    </w:p>
    <w:p w14:paraId="410277A4" w14:textId="031C3056" w:rsidR="001466D8" w:rsidRDefault="001B6A2C" w:rsidP="005E2EBB">
      <w:pPr>
        <w:pStyle w:val="CommentText"/>
        <w:spacing w:after="0"/>
        <w:jc w:val="both"/>
        <w:rPr>
          <w:rFonts w:asciiTheme="minorHAnsi" w:hAnsiTheme="minorHAnsi" w:cstheme="minorHAnsi"/>
          <w:bCs/>
          <w:sz w:val="24"/>
          <w:szCs w:val="24"/>
        </w:rPr>
      </w:pPr>
      <w:r w:rsidRPr="00534832">
        <w:rPr>
          <w:rFonts w:asciiTheme="minorHAnsi" w:hAnsiTheme="minorHAnsi" w:cstheme="minorHAnsi"/>
          <w:bCs/>
          <w:sz w:val="24"/>
          <w:szCs w:val="24"/>
        </w:rPr>
        <w:lastRenderedPageBreak/>
        <w:t>2022. a korralise maade hindamise tulemusel suurenes maa maksustamishind üle Eesti keskmiselt 8,3 korda</w:t>
      </w:r>
      <w:r w:rsidRPr="00534832">
        <w:rPr>
          <w:rStyle w:val="FootnoteReference"/>
          <w:rFonts w:asciiTheme="minorHAnsi" w:hAnsiTheme="minorHAnsi" w:cstheme="minorHAnsi"/>
          <w:bCs/>
          <w:sz w:val="24"/>
          <w:szCs w:val="24"/>
        </w:rPr>
        <w:footnoteReference w:id="15"/>
      </w:r>
      <w:r w:rsidRPr="00534832">
        <w:rPr>
          <w:rFonts w:asciiTheme="minorHAnsi" w:hAnsiTheme="minorHAnsi" w:cstheme="minorHAnsi"/>
          <w:bCs/>
          <w:sz w:val="24"/>
          <w:szCs w:val="24"/>
        </w:rPr>
        <w:t>. Maamaksukoormuse liiga suureks muutumise ärahoidmiseks vähenevad 2024. a maksimaalsed maamaksumäärad 2,5</w:t>
      </w:r>
      <w:r w:rsidR="001466D8">
        <w:rPr>
          <w:rFonts w:asciiTheme="minorHAnsi" w:hAnsiTheme="minorHAnsi" w:cstheme="minorHAnsi"/>
          <w:bCs/>
          <w:sz w:val="24"/>
          <w:szCs w:val="24"/>
        </w:rPr>
        <w:t>–</w:t>
      </w:r>
      <w:r w:rsidRPr="00534832">
        <w:rPr>
          <w:rFonts w:asciiTheme="minorHAnsi" w:hAnsiTheme="minorHAnsi" w:cstheme="minorHAnsi"/>
          <w:bCs/>
          <w:sz w:val="24"/>
          <w:szCs w:val="24"/>
        </w:rPr>
        <w:t xml:space="preserve">5 korda. </w:t>
      </w:r>
      <w:r w:rsidR="001466D8">
        <w:rPr>
          <w:rFonts w:asciiTheme="minorHAnsi" w:hAnsiTheme="minorHAnsi" w:cstheme="minorHAnsi"/>
          <w:bCs/>
          <w:sz w:val="24"/>
          <w:szCs w:val="24"/>
        </w:rPr>
        <w:t xml:space="preserve">2024. a on maamaksumäärade vahemikud: elamumaal + õueala 0,1%–0,5%, maatulundusmaa (nt mets, põld, rohumaa) 0,1%–0,5%, muu maa (nt ärimaa, tootmismaa, transpordimaa) 0,1%–1,0%. </w:t>
      </w:r>
    </w:p>
    <w:p w14:paraId="2B7A24DF" w14:textId="77777777" w:rsidR="001466D8" w:rsidRDefault="001466D8" w:rsidP="005E2EBB">
      <w:pPr>
        <w:pStyle w:val="CommentText"/>
        <w:spacing w:after="0"/>
        <w:jc w:val="both"/>
        <w:rPr>
          <w:rFonts w:asciiTheme="minorHAnsi" w:hAnsiTheme="minorHAnsi" w:cstheme="minorHAnsi"/>
          <w:bCs/>
          <w:sz w:val="24"/>
          <w:szCs w:val="24"/>
        </w:rPr>
      </w:pPr>
    </w:p>
    <w:p w14:paraId="29F0C728" w14:textId="2D25B66A" w:rsidR="001B6A2C" w:rsidRPr="00534832" w:rsidRDefault="001B6A2C" w:rsidP="005E2EBB">
      <w:pPr>
        <w:pStyle w:val="CommentText"/>
        <w:spacing w:after="0"/>
        <w:jc w:val="both"/>
        <w:rPr>
          <w:rFonts w:asciiTheme="minorHAnsi" w:hAnsiTheme="minorHAnsi" w:cstheme="minorHAnsi"/>
          <w:bCs/>
          <w:sz w:val="24"/>
          <w:szCs w:val="24"/>
        </w:rPr>
      </w:pPr>
      <w:r w:rsidRPr="00534832">
        <w:rPr>
          <w:rFonts w:asciiTheme="minorHAnsi" w:hAnsiTheme="minorHAnsi" w:cstheme="minorHAnsi"/>
          <w:bCs/>
          <w:sz w:val="24"/>
          <w:szCs w:val="24"/>
        </w:rPr>
        <w:t>Lisaks kehtestati piirang, et maamaks ei tohi aastas suureneda rohkem kui 10% või 5 eurot (kui maamaksu 10% kasv on väiksem kui 5 EUR, suureneb maamaks 5 EUR). KOVid pidid 2024. a kehtestama uued maamaksumäärad</w:t>
      </w:r>
      <w:r w:rsidRPr="00534832">
        <w:rPr>
          <w:rStyle w:val="FootnoteReference"/>
          <w:rFonts w:asciiTheme="minorHAnsi" w:hAnsiTheme="minorHAnsi" w:cstheme="minorHAnsi"/>
          <w:bCs/>
          <w:sz w:val="24"/>
          <w:szCs w:val="24"/>
        </w:rPr>
        <w:footnoteReference w:id="16"/>
      </w:r>
      <w:r w:rsidRPr="00534832">
        <w:rPr>
          <w:rFonts w:asciiTheme="minorHAnsi" w:hAnsiTheme="minorHAnsi" w:cstheme="minorHAnsi"/>
          <w:bCs/>
          <w:sz w:val="24"/>
          <w:szCs w:val="24"/>
        </w:rPr>
        <w:t>.</w:t>
      </w:r>
    </w:p>
    <w:p w14:paraId="0820DA92" w14:textId="77777777" w:rsidR="001466D8" w:rsidRDefault="001466D8" w:rsidP="005E2EBB">
      <w:pPr>
        <w:pStyle w:val="CommentText"/>
        <w:spacing w:after="0"/>
        <w:jc w:val="both"/>
        <w:rPr>
          <w:rFonts w:asciiTheme="minorHAnsi" w:hAnsiTheme="minorHAnsi" w:cstheme="minorHAnsi"/>
          <w:sz w:val="24"/>
          <w:szCs w:val="24"/>
        </w:rPr>
      </w:pPr>
    </w:p>
    <w:p w14:paraId="62299CAA" w14:textId="2FE7F227" w:rsidR="001B6A2C" w:rsidRPr="00534832" w:rsidRDefault="001B6A2C" w:rsidP="005E2EBB">
      <w:pPr>
        <w:pStyle w:val="CommentText"/>
        <w:spacing w:after="0"/>
        <w:jc w:val="both"/>
        <w:rPr>
          <w:rFonts w:asciiTheme="minorHAnsi" w:hAnsiTheme="minorHAnsi" w:cstheme="minorHAnsi"/>
          <w:sz w:val="24"/>
          <w:szCs w:val="24"/>
        </w:rPr>
      </w:pPr>
      <w:r w:rsidRPr="00534832">
        <w:rPr>
          <w:rFonts w:asciiTheme="minorHAnsi" w:hAnsiTheme="minorHAnsi" w:cstheme="minorHAnsi"/>
          <w:sz w:val="24"/>
          <w:szCs w:val="24"/>
        </w:rPr>
        <w:t>Praegune maatüki pindalapõhine</w:t>
      </w:r>
      <w:r w:rsidRPr="00534832">
        <w:rPr>
          <w:rStyle w:val="FootnoteReference"/>
          <w:rFonts w:asciiTheme="minorHAnsi" w:hAnsiTheme="minorHAnsi" w:cstheme="minorHAnsi"/>
          <w:sz w:val="24"/>
          <w:szCs w:val="24"/>
        </w:rPr>
        <w:footnoteReference w:id="17"/>
      </w:r>
      <w:r w:rsidRPr="00534832">
        <w:rPr>
          <w:rFonts w:asciiTheme="minorHAnsi" w:hAnsiTheme="minorHAnsi" w:cstheme="minorHAnsi"/>
          <w:sz w:val="24"/>
          <w:szCs w:val="24"/>
        </w:rPr>
        <w:t xml:space="preserve"> </w:t>
      </w:r>
      <w:r w:rsidR="005E2EBB">
        <w:rPr>
          <w:rFonts w:asciiTheme="minorHAnsi" w:hAnsiTheme="minorHAnsi" w:cstheme="minorHAnsi"/>
          <w:sz w:val="24"/>
          <w:szCs w:val="24"/>
        </w:rPr>
        <w:t xml:space="preserve">üleriigiline ühetaoline </w:t>
      </w:r>
      <w:r w:rsidRPr="00534832">
        <w:rPr>
          <w:rFonts w:asciiTheme="minorHAnsi" w:hAnsiTheme="minorHAnsi" w:cstheme="minorHAnsi"/>
          <w:sz w:val="24"/>
          <w:szCs w:val="24"/>
        </w:rPr>
        <w:t>maamaksuvabastus kehtib 201</w:t>
      </w:r>
      <w:r w:rsidR="005E2EBB">
        <w:rPr>
          <w:rFonts w:asciiTheme="minorHAnsi" w:hAnsiTheme="minorHAnsi" w:cstheme="minorHAnsi"/>
          <w:sz w:val="24"/>
          <w:szCs w:val="24"/>
        </w:rPr>
        <w:t>3</w:t>
      </w:r>
      <w:r w:rsidRPr="00534832">
        <w:rPr>
          <w:rFonts w:asciiTheme="minorHAnsi" w:hAnsiTheme="minorHAnsi" w:cstheme="minorHAnsi"/>
          <w:sz w:val="24"/>
          <w:szCs w:val="24"/>
        </w:rPr>
        <w:t>. aastast. Maksu</w:t>
      </w:r>
      <w:r w:rsidR="005E2EBB">
        <w:rPr>
          <w:rFonts w:asciiTheme="minorHAnsi" w:hAnsiTheme="minorHAnsi" w:cstheme="minorHAnsi"/>
          <w:sz w:val="24"/>
          <w:szCs w:val="24"/>
        </w:rPr>
        <w:t xml:space="preserve">stamise põhimõtete kohaselt on </w:t>
      </w:r>
      <w:r w:rsidRPr="00534832">
        <w:rPr>
          <w:rFonts w:asciiTheme="minorHAnsi" w:hAnsiTheme="minorHAnsi" w:cstheme="minorHAnsi"/>
          <w:sz w:val="24"/>
          <w:szCs w:val="24"/>
        </w:rPr>
        <w:t>maksusoodustuse mõte vähendada väiksema sissetulekuga inimeste maksukulusid, et parandada nende toimetulekut. Eestis kehtiv põhimõte võimaldab mistahes turuväärtusega</w:t>
      </w:r>
      <w:r w:rsidRPr="00534832">
        <w:rPr>
          <w:rStyle w:val="FootnoteReference"/>
          <w:rFonts w:asciiTheme="minorHAnsi" w:hAnsiTheme="minorHAnsi" w:cstheme="minorHAnsi"/>
          <w:sz w:val="24"/>
          <w:szCs w:val="24"/>
        </w:rPr>
        <w:footnoteReference w:id="18"/>
      </w:r>
      <w:r w:rsidRPr="00534832">
        <w:rPr>
          <w:rFonts w:asciiTheme="minorHAnsi" w:hAnsiTheme="minorHAnsi" w:cstheme="minorHAnsi"/>
          <w:sz w:val="24"/>
          <w:szCs w:val="24"/>
        </w:rPr>
        <w:t xml:space="preserve"> maa omanikul saada maksuvabastust, kui tema elukoht asub tema omandis oleva maatükiga seotud aadressil. Seega nt 0,15 ha krundil nn kalli maaga piirkonnas elav isik saab täieliku maksuvabastuse ja nn odavamas piirkonnas suurema kui 0,15 ha maa omanik peab maamaksu maksma.</w:t>
      </w:r>
    </w:p>
    <w:p w14:paraId="716C025E" w14:textId="77777777" w:rsidR="001B6A2C" w:rsidRDefault="001B6A2C" w:rsidP="005E2EBB">
      <w:pPr>
        <w:spacing w:after="0" w:line="240" w:lineRule="auto"/>
        <w:jc w:val="both"/>
        <w:rPr>
          <w:sz w:val="24"/>
          <w:szCs w:val="24"/>
        </w:rPr>
      </w:pPr>
    </w:p>
    <w:p w14:paraId="79F60263" w14:textId="77777777" w:rsidR="001B6A2C" w:rsidRDefault="001B6A2C" w:rsidP="005E2EBB">
      <w:pPr>
        <w:spacing w:after="0" w:line="240" w:lineRule="auto"/>
        <w:jc w:val="both"/>
        <w:rPr>
          <w:sz w:val="24"/>
          <w:szCs w:val="24"/>
        </w:rPr>
      </w:pPr>
      <w:r>
        <w:rPr>
          <w:sz w:val="24"/>
          <w:szCs w:val="24"/>
        </w:rPr>
        <w:t xml:space="preserve">Maamaksu mõte on KOVidele anda võimalus saada tulu, katmaks elanikele osutavate teenuse kulusid (nt kohalike teede hoid, tänavavalgustus). Kehtivad põhimõtted seda potentsiaali ära kasutada ei võimalda. </w:t>
      </w:r>
    </w:p>
    <w:p w14:paraId="03E36481" w14:textId="77777777" w:rsidR="00994B45" w:rsidRDefault="00994B45" w:rsidP="005E2EBB">
      <w:pPr>
        <w:spacing w:after="0" w:line="240" w:lineRule="auto"/>
        <w:jc w:val="both"/>
        <w:rPr>
          <w:rFonts w:cstheme="minorHAnsi"/>
          <w:sz w:val="24"/>
          <w:szCs w:val="24"/>
        </w:rPr>
      </w:pPr>
    </w:p>
    <w:p w14:paraId="513B07A7" w14:textId="12C0A76B" w:rsidR="001466D8" w:rsidRDefault="001466D8" w:rsidP="005E2EBB">
      <w:pPr>
        <w:spacing w:after="0" w:line="240" w:lineRule="auto"/>
        <w:jc w:val="both"/>
        <w:rPr>
          <w:rFonts w:cstheme="minorHAnsi"/>
          <w:sz w:val="24"/>
          <w:szCs w:val="24"/>
        </w:rPr>
      </w:pPr>
      <w:r>
        <w:rPr>
          <w:rFonts w:cstheme="minorHAnsi"/>
          <w:sz w:val="24"/>
          <w:szCs w:val="24"/>
        </w:rPr>
        <w:t>Maade hindamise ja uute maksimaalsete määrade juures osades KOVides maamaksu laekumine 2024. a jääb väiksemaks kui 2023. a. See on eelkõige põhjustatud tootmismaadest, mille maksustamishind vähenes või tõusis väga vähe, aga maksumäär alanes 5 korda. Selliste KOVide jaoks võimaldaks muu maa maksimaalse määra tõus 2,0%-le suurendada maamaksu laekumist.</w:t>
      </w:r>
    </w:p>
    <w:p w14:paraId="2EE7C665" w14:textId="77777777" w:rsidR="001466D8" w:rsidRDefault="001466D8" w:rsidP="005E2EBB">
      <w:pPr>
        <w:spacing w:after="0" w:line="240" w:lineRule="auto"/>
        <w:jc w:val="both"/>
        <w:rPr>
          <w:rFonts w:cstheme="minorHAnsi"/>
          <w:sz w:val="24"/>
          <w:szCs w:val="24"/>
        </w:rPr>
      </w:pPr>
    </w:p>
    <w:p w14:paraId="29D1E65F" w14:textId="704196D6" w:rsidR="001B6A2C" w:rsidRDefault="001B6A2C" w:rsidP="005E2EBB">
      <w:pPr>
        <w:spacing w:after="0" w:line="240" w:lineRule="auto"/>
        <w:jc w:val="both"/>
        <w:rPr>
          <w:rFonts w:cstheme="minorHAnsi"/>
          <w:sz w:val="24"/>
          <w:szCs w:val="24"/>
        </w:rPr>
      </w:pPr>
      <w:r w:rsidRPr="004462F8">
        <w:rPr>
          <w:rFonts w:cstheme="minorHAnsi"/>
          <w:sz w:val="24"/>
          <w:szCs w:val="24"/>
        </w:rPr>
        <w:t>KOVide sees on maa maksustamishinnad väga erinevalt suurenenud (mõnel juhul paar korda ja mõnel juhul ka mitukümmend korda). Kui KOV tooks kõrge hinnakasvuga maatükkide tõttu maamaksu määra väga madalale, kukuks tal hüppeliselt maamaksu laekumine. Samas määrates määra selliselt, et oleks mõningane maamaksu laekumise kasv, tähendaks see osadele maatükkidele kümnekordseid maksutõus</w:t>
      </w:r>
      <w:r>
        <w:rPr>
          <w:rFonts w:cstheme="minorHAnsi"/>
          <w:sz w:val="24"/>
          <w:szCs w:val="24"/>
        </w:rPr>
        <w:t>e</w:t>
      </w:r>
      <w:r w:rsidRPr="004462F8">
        <w:rPr>
          <w:rFonts w:cstheme="minorHAnsi"/>
          <w:sz w:val="24"/>
          <w:szCs w:val="24"/>
        </w:rPr>
        <w:t xml:space="preserve">, mis võib riivata omanike õigustatud ootust, et maksud ei saa kordades kasvada niivõrd lühikese ette teatamise ajaga. Maamaksu aastase kasvu piirang võimaldab maa maksustamishinna suure kasvu puhul maamaksu tõusu hajutada pikema perioodi peale. Aastase kasvu piirang on KOVide huvides, et tagada maade maksustamisel vajalik paindlikkus. Alates 2026. a on võimalik (MTA-l on vaja teha IT arendus), et KOVid saaksid ise otsustada maamaksu kasvu aastase lae üle. </w:t>
      </w:r>
    </w:p>
    <w:p w14:paraId="2008FA11" w14:textId="77777777" w:rsidR="005E2EBB" w:rsidRDefault="005E2EBB" w:rsidP="005E2EBB">
      <w:pPr>
        <w:spacing w:after="0" w:line="240" w:lineRule="auto"/>
        <w:jc w:val="both"/>
        <w:rPr>
          <w:rFonts w:cstheme="minorHAnsi"/>
          <w:sz w:val="24"/>
          <w:szCs w:val="24"/>
        </w:rPr>
      </w:pPr>
    </w:p>
    <w:p w14:paraId="40A0AEE8" w14:textId="77777777" w:rsidR="00994B45" w:rsidRDefault="00994B45" w:rsidP="005E2EBB">
      <w:pPr>
        <w:spacing w:after="0" w:line="240" w:lineRule="auto"/>
        <w:jc w:val="both"/>
        <w:rPr>
          <w:rFonts w:cstheme="minorHAnsi"/>
          <w:sz w:val="24"/>
          <w:szCs w:val="24"/>
        </w:rPr>
      </w:pPr>
    </w:p>
    <w:p w14:paraId="3F508556" w14:textId="77777777" w:rsidR="00994B45" w:rsidRDefault="00994B45" w:rsidP="005E2EBB">
      <w:pPr>
        <w:spacing w:after="0" w:line="240" w:lineRule="auto"/>
        <w:jc w:val="both"/>
        <w:rPr>
          <w:rFonts w:cstheme="minorHAnsi"/>
          <w:sz w:val="24"/>
          <w:szCs w:val="24"/>
        </w:rPr>
      </w:pPr>
    </w:p>
    <w:p w14:paraId="5F132AE7" w14:textId="6F62E0A1" w:rsidR="001B6A2C" w:rsidRDefault="00050DA1" w:rsidP="005E2EBB">
      <w:pPr>
        <w:spacing w:after="0" w:line="240" w:lineRule="auto"/>
        <w:jc w:val="both"/>
        <w:rPr>
          <w:rFonts w:cstheme="minorHAnsi"/>
          <w:sz w:val="24"/>
          <w:szCs w:val="24"/>
        </w:rPr>
      </w:pPr>
      <w:r>
        <w:rPr>
          <w:rFonts w:cstheme="minorHAnsi"/>
          <w:sz w:val="24"/>
          <w:szCs w:val="24"/>
        </w:rPr>
        <w:lastRenderedPageBreak/>
        <w:t>Näide 1</w:t>
      </w:r>
      <w:r w:rsidR="001B6A2C">
        <w:rPr>
          <w:rFonts w:cstheme="minorHAnsi"/>
          <w:sz w:val="24"/>
          <w:szCs w:val="24"/>
        </w:rPr>
        <w:t xml:space="preserve"> </w:t>
      </w:r>
      <w:r w:rsidR="00757EEC">
        <w:rPr>
          <w:rFonts w:cstheme="minorHAnsi"/>
          <w:sz w:val="24"/>
          <w:szCs w:val="24"/>
        </w:rPr>
        <w:t xml:space="preserve">(Saku vald) </w:t>
      </w:r>
      <w:r w:rsidR="001B6A2C">
        <w:rPr>
          <w:rFonts w:cstheme="minorHAnsi"/>
          <w:sz w:val="24"/>
          <w:szCs w:val="24"/>
        </w:rPr>
        <w:t>maamaksu tõusu kohta juhul kui aastase kasvu piirangut ei ole või kui rakendub aastase kasvu piirang.</w:t>
      </w:r>
    </w:p>
    <w:p w14:paraId="7D61BCC0" w14:textId="77777777" w:rsidR="001B6A2C" w:rsidRPr="004462F8" w:rsidRDefault="001B6A2C" w:rsidP="001B6A2C">
      <w:pPr>
        <w:spacing w:after="0" w:line="240" w:lineRule="auto"/>
        <w:jc w:val="both"/>
        <w:rPr>
          <w:rFonts w:cstheme="minorHAnsi"/>
          <w:sz w:val="24"/>
          <w:szCs w:val="24"/>
        </w:rPr>
      </w:pPr>
    </w:p>
    <w:p w14:paraId="01D5D7C4" w14:textId="3F2F3C15" w:rsidR="005E2EBB" w:rsidRDefault="00757EEC" w:rsidP="001B6A2C">
      <w:pPr>
        <w:spacing w:after="0" w:line="240" w:lineRule="auto"/>
        <w:jc w:val="both"/>
        <w:rPr>
          <w:rFonts w:cstheme="minorHAnsi"/>
          <w:kern w:val="0"/>
          <w:sz w:val="24"/>
          <w:szCs w:val="24"/>
        </w:rPr>
      </w:pPr>
      <w:r w:rsidRPr="00757EEC">
        <w:rPr>
          <w:noProof/>
        </w:rPr>
        <w:drawing>
          <wp:inline distT="0" distB="0" distL="0" distR="0" wp14:anchorId="2D438A2B" wp14:editId="6C2EC7D0">
            <wp:extent cx="5760720" cy="229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292350"/>
                    </a:xfrm>
                    <a:prstGeom prst="rect">
                      <a:avLst/>
                    </a:prstGeom>
                    <a:noFill/>
                    <a:ln>
                      <a:noFill/>
                    </a:ln>
                  </pic:spPr>
                </pic:pic>
              </a:graphicData>
            </a:graphic>
          </wp:inline>
        </w:drawing>
      </w:r>
    </w:p>
    <w:p w14:paraId="63A61CDD" w14:textId="77777777" w:rsidR="00757EEC" w:rsidRDefault="00757EEC" w:rsidP="001B6A2C">
      <w:pPr>
        <w:spacing w:after="0" w:line="240" w:lineRule="auto"/>
        <w:jc w:val="both"/>
        <w:rPr>
          <w:rFonts w:cstheme="minorHAnsi"/>
          <w:kern w:val="0"/>
          <w:sz w:val="24"/>
          <w:szCs w:val="24"/>
        </w:rPr>
      </w:pPr>
    </w:p>
    <w:p w14:paraId="590DB43D" w14:textId="136E1986" w:rsidR="001B6A2C" w:rsidRDefault="001B6A2C" w:rsidP="001B6A2C">
      <w:pPr>
        <w:spacing w:after="0" w:line="240" w:lineRule="auto"/>
        <w:jc w:val="both"/>
        <w:rPr>
          <w:rFonts w:cstheme="minorHAnsi"/>
          <w:kern w:val="0"/>
          <w:sz w:val="24"/>
          <w:szCs w:val="24"/>
        </w:rPr>
      </w:pPr>
      <w:r w:rsidRPr="00595FBD">
        <w:rPr>
          <w:rFonts w:cstheme="minorHAnsi"/>
          <w:kern w:val="0"/>
          <w:sz w:val="24"/>
          <w:szCs w:val="24"/>
        </w:rPr>
        <w:t>Tabelis on näha, et 2025. a määraga 0,1% on võimalik üksikute suure kasvuga maatükkide maamaksu kasvu enam-vähem mõistlikuks piirata. Samas kaotaks KOV maamaksu muude maatükkide pealt. Maamaksu määraga 0,5% oleks osade maatükkide maksutõus väga suur.  Maamaksu aastase kasvu piirang võimaldab maamaksutõusu hajutada pikema perioodi peale.</w:t>
      </w:r>
    </w:p>
    <w:p w14:paraId="7DC87E9E" w14:textId="77777777" w:rsidR="001B6A2C" w:rsidRDefault="001B6A2C" w:rsidP="001B6A2C">
      <w:pPr>
        <w:spacing w:after="0" w:line="240" w:lineRule="auto"/>
        <w:jc w:val="both"/>
        <w:rPr>
          <w:rFonts w:cstheme="minorHAnsi"/>
          <w:color w:val="0070C0"/>
          <w:sz w:val="24"/>
          <w:szCs w:val="24"/>
        </w:rPr>
      </w:pPr>
    </w:p>
    <w:p w14:paraId="1C6E8544" w14:textId="03CAB729" w:rsidR="001B6A2C" w:rsidRDefault="001B6A2C" w:rsidP="001B6A2C">
      <w:pPr>
        <w:spacing w:after="0" w:line="240" w:lineRule="auto"/>
        <w:jc w:val="both"/>
        <w:rPr>
          <w:rFonts w:cstheme="minorHAnsi"/>
          <w:color w:val="0070C0"/>
          <w:sz w:val="24"/>
          <w:szCs w:val="24"/>
        </w:rPr>
      </w:pPr>
      <w:r w:rsidRPr="00595FBD">
        <w:rPr>
          <w:rFonts w:cstheme="minorHAnsi"/>
          <w:color w:val="0070C0"/>
          <w:sz w:val="24"/>
          <w:szCs w:val="24"/>
        </w:rPr>
        <w:t>Ettepanek</w:t>
      </w:r>
      <w:r>
        <w:rPr>
          <w:rFonts w:cstheme="minorHAnsi"/>
          <w:color w:val="0070C0"/>
          <w:sz w:val="24"/>
          <w:szCs w:val="24"/>
        </w:rPr>
        <w:t>ud</w:t>
      </w:r>
      <w:r w:rsidRPr="00595FBD">
        <w:rPr>
          <w:rFonts w:cstheme="minorHAnsi"/>
          <w:color w:val="0070C0"/>
          <w:sz w:val="24"/>
          <w:szCs w:val="24"/>
        </w:rPr>
        <w:t xml:space="preserve">: </w:t>
      </w:r>
    </w:p>
    <w:p w14:paraId="03024009" w14:textId="45F878F9" w:rsidR="001B6A2C" w:rsidRPr="00050DA1" w:rsidRDefault="001B6A2C" w:rsidP="00050DA1">
      <w:pPr>
        <w:pStyle w:val="ListParagraph"/>
        <w:numPr>
          <w:ilvl w:val="0"/>
          <w:numId w:val="15"/>
        </w:numPr>
        <w:ind w:left="284" w:hanging="284"/>
        <w:jc w:val="both"/>
        <w:rPr>
          <w:rFonts w:cstheme="minorHAnsi"/>
          <w:color w:val="0070C0"/>
          <w:sz w:val="24"/>
          <w:szCs w:val="24"/>
        </w:rPr>
      </w:pPr>
      <w:r w:rsidRPr="00050DA1">
        <w:rPr>
          <w:rFonts w:cstheme="minorHAnsi"/>
          <w:color w:val="0070C0"/>
          <w:sz w:val="24"/>
          <w:szCs w:val="24"/>
        </w:rPr>
        <w:t>alates 2025. a on muu maa maksimaalne määr 2,0%</w:t>
      </w:r>
      <w:r w:rsidR="00920FA8" w:rsidRPr="00050DA1">
        <w:rPr>
          <w:rFonts w:cstheme="minorHAnsi"/>
          <w:color w:val="0070C0"/>
          <w:sz w:val="24"/>
          <w:szCs w:val="24"/>
        </w:rPr>
        <w:t>;</w:t>
      </w:r>
    </w:p>
    <w:p w14:paraId="118BA108" w14:textId="65E541FA" w:rsidR="001B6A2C" w:rsidRPr="00050DA1" w:rsidRDefault="001B6A2C" w:rsidP="00050DA1">
      <w:pPr>
        <w:pStyle w:val="ListParagraph"/>
        <w:numPr>
          <w:ilvl w:val="0"/>
          <w:numId w:val="15"/>
        </w:numPr>
        <w:ind w:left="284" w:hanging="284"/>
        <w:jc w:val="both"/>
        <w:rPr>
          <w:rFonts w:cstheme="minorHAnsi"/>
          <w:color w:val="0070C0"/>
          <w:sz w:val="24"/>
          <w:szCs w:val="24"/>
        </w:rPr>
      </w:pPr>
      <w:r w:rsidRPr="00050DA1">
        <w:rPr>
          <w:rFonts w:cstheme="minorHAnsi"/>
          <w:color w:val="0070C0"/>
          <w:sz w:val="24"/>
          <w:szCs w:val="24"/>
        </w:rPr>
        <w:t>alates 2026. a saab iga KOV ise otsustada maamaksu aastase kasvu piirangu %-i. Üleriigiline miin</w:t>
      </w:r>
      <w:r w:rsidR="00E63BE4" w:rsidRPr="00050DA1">
        <w:rPr>
          <w:rFonts w:cstheme="minorHAnsi"/>
          <w:color w:val="0070C0"/>
          <w:sz w:val="24"/>
          <w:szCs w:val="24"/>
        </w:rPr>
        <w:t>i</w:t>
      </w:r>
      <w:r w:rsidRPr="00050DA1">
        <w:rPr>
          <w:rFonts w:cstheme="minorHAnsi"/>
          <w:color w:val="0070C0"/>
          <w:sz w:val="24"/>
          <w:szCs w:val="24"/>
        </w:rPr>
        <w:t xml:space="preserve">mumkasv </w:t>
      </w:r>
      <w:r w:rsidR="00E63BE4" w:rsidRPr="00050DA1">
        <w:rPr>
          <w:rFonts w:cstheme="minorHAnsi"/>
          <w:color w:val="0070C0"/>
          <w:sz w:val="24"/>
          <w:szCs w:val="24"/>
        </w:rPr>
        <w:t xml:space="preserve">aastas </w:t>
      </w:r>
      <w:r w:rsidRPr="00050DA1">
        <w:rPr>
          <w:rFonts w:cstheme="minorHAnsi"/>
          <w:color w:val="0070C0"/>
          <w:sz w:val="24"/>
          <w:szCs w:val="24"/>
        </w:rPr>
        <w:t xml:space="preserve">on </w:t>
      </w:r>
      <w:r w:rsidR="005E2EBB" w:rsidRPr="00050DA1">
        <w:rPr>
          <w:rFonts w:cstheme="minorHAnsi"/>
          <w:color w:val="0070C0"/>
          <w:sz w:val="24"/>
          <w:szCs w:val="24"/>
        </w:rPr>
        <w:t>5 eurot</w:t>
      </w:r>
      <w:r w:rsidRPr="00050DA1">
        <w:rPr>
          <w:rFonts w:cstheme="minorHAnsi"/>
          <w:color w:val="0070C0"/>
          <w:sz w:val="24"/>
          <w:szCs w:val="24"/>
        </w:rPr>
        <w:t xml:space="preserve">. Kui </w:t>
      </w:r>
      <w:r w:rsidR="00E63BE4" w:rsidRPr="00050DA1">
        <w:rPr>
          <w:rFonts w:cstheme="minorHAnsi"/>
          <w:color w:val="0070C0"/>
          <w:sz w:val="24"/>
          <w:szCs w:val="24"/>
        </w:rPr>
        <w:t xml:space="preserve">KOVi määraga maamaksu kasv on üle </w:t>
      </w:r>
      <w:r w:rsidR="005E2EBB" w:rsidRPr="00050DA1">
        <w:rPr>
          <w:rFonts w:cstheme="minorHAnsi"/>
          <w:color w:val="0070C0"/>
          <w:sz w:val="24"/>
          <w:szCs w:val="24"/>
        </w:rPr>
        <w:t>5 euro</w:t>
      </w:r>
      <w:r w:rsidR="00E63BE4" w:rsidRPr="00050DA1">
        <w:rPr>
          <w:rFonts w:cstheme="minorHAnsi"/>
          <w:color w:val="0070C0"/>
          <w:sz w:val="24"/>
          <w:szCs w:val="24"/>
        </w:rPr>
        <w:t xml:space="preserve">, siis rakendub KOVi määratud kasvu protsent. Kui KOV kasvupiirangut ei kehtesta, </w:t>
      </w:r>
      <w:r w:rsidR="005E2EBB" w:rsidRPr="00050DA1">
        <w:rPr>
          <w:rFonts w:cstheme="minorHAnsi"/>
          <w:color w:val="0070C0"/>
          <w:sz w:val="24"/>
          <w:szCs w:val="24"/>
        </w:rPr>
        <w:t>jä</w:t>
      </w:r>
      <w:r w:rsidR="00757EEC" w:rsidRPr="00050DA1">
        <w:rPr>
          <w:rFonts w:cstheme="minorHAnsi"/>
          <w:color w:val="0070C0"/>
          <w:sz w:val="24"/>
          <w:szCs w:val="24"/>
        </w:rPr>
        <w:t>tkub automaatselt täna seaduses kehtiv maamaksu aastase kasvu piirang 10%/5 eurot</w:t>
      </w:r>
      <w:r w:rsidR="00E63BE4" w:rsidRPr="00050DA1">
        <w:rPr>
          <w:rFonts w:cstheme="minorHAnsi"/>
          <w:color w:val="0070C0"/>
          <w:sz w:val="24"/>
          <w:szCs w:val="24"/>
        </w:rPr>
        <w:t>.</w:t>
      </w:r>
    </w:p>
    <w:p w14:paraId="08FC7B0B" w14:textId="2C22969B" w:rsidR="00E63BE4" w:rsidRDefault="00E63BE4" w:rsidP="00050DA1">
      <w:pPr>
        <w:pStyle w:val="ListParagraph"/>
        <w:numPr>
          <w:ilvl w:val="0"/>
          <w:numId w:val="15"/>
        </w:numPr>
        <w:ind w:left="284" w:hanging="284"/>
        <w:jc w:val="both"/>
        <w:rPr>
          <w:rFonts w:cstheme="minorHAnsi"/>
          <w:color w:val="0070C0"/>
          <w:sz w:val="24"/>
          <w:szCs w:val="24"/>
        </w:rPr>
      </w:pPr>
      <w:r>
        <w:rPr>
          <w:rFonts w:cstheme="minorHAnsi"/>
          <w:color w:val="0070C0"/>
          <w:sz w:val="24"/>
          <w:szCs w:val="24"/>
        </w:rPr>
        <w:t xml:space="preserve">alates 2026. a kehtestab iga KOV </w:t>
      </w:r>
      <w:r w:rsidR="00920FA8">
        <w:rPr>
          <w:rFonts w:cstheme="minorHAnsi"/>
          <w:color w:val="0070C0"/>
          <w:sz w:val="24"/>
          <w:szCs w:val="24"/>
        </w:rPr>
        <w:t>kodualuse maa maksusoodustuse suuruse eurodes ja kaob üleriigiline pindalapõhine maamaksuvabastus.</w:t>
      </w:r>
    </w:p>
    <w:p w14:paraId="365871E9" w14:textId="62999F85" w:rsidR="00757EEC" w:rsidRDefault="00757EEC" w:rsidP="00050DA1">
      <w:pPr>
        <w:pStyle w:val="ListParagraph"/>
        <w:numPr>
          <w:ilvl w:val="0"/>
          <w:numId w:val="15"/>
        </w:numPr>
        <w:ind w:left="284" w:hanging="284"/>
        <w:jc w:val="both"/>
        <w:rPr>
          <w:rFonts w:cstheme="minorHAnsi"/>
          <w:color w:val="0070C0"/>
          <w:sz w:val="24"/>
          <w:szCs w:val="24"/>
        </w:rPr>
      </w:pPr>
      <w:r>
        <w:rPr>
          <w:rFonts w:cstheme="minorHAnsi"/>
          <w:color w:val="0070C0"/>
          <w:sz w:val="24"/>
          <w:szCs w:val="24"/>
        </w:rPr>
        <w:t xml:space="preserve">maamaksu seaduse muudatus esitada 2. mai Vabariigi Valitsuse istungile. </w:t>
      </w:r>
    </w:p>
    <w:p w14:paraId="292BC9F1" w14:textId="77777777" w:rsidR="00994B45" w:rsidRPr="00E63BE4" w:rsidRDefault="00994B45" w:rsidP="00994B45">
      <w:pPr>
        <w:pStyle w:val="ListParagraph"/>
        <w:ind w:left="284"/>
        <w:jc w:val="both"/>
        <w:rPr>
          <w:rFonts w:cstheme="minorHAnsi"/>
          <w:color w:val="0070C0"/>
          <w:sz w:val="24"/>
          <w:szCs w:val="24"/>
        </w:rPr>
      </w:pPr>
    </w:p>
    <w:p w14:paraId="70E0AE19" w14:textId="7F30E978" w:rsidR="00920FA8" w:rsidRPr="00757EEC" w:rsidRDefault="00920FA8" w:rsidP="00757EEC">
      <w:pPr>
        <w:pStyle w:val="ListParagraph"/>
        <w:numPr>
          <w:ilvl w:val="0"/>
          <w:numId w:val="12"/>
        </w:numPr>
        <w:rPr>
          <w:rFonts w:cstheme="minorHAnsi"/>
          <w:b/>
          <w:bCs/>
          <w:sz w:val="24"/>
          <w:szCs w:val="24"/>
        </w:rPr>
      </w:pPr>
      <w:r w:rsidRPr="00757EEC">
        <w:rPr>
          <w:rFonts w:cstheme="minorHAnsi"/>
          <w:b/>
          <w:bCs/>
          <w:sz w:val="24"/>
          <w:szCs w:val="24"/>
        </w:rPr>
        <w:t>KOVidele looduskaitsealadest tingitud maamaksu vähenemise kompenseerimine</w:t>
      </w:r>
    </w:p>
    <w:p w14:paraId="7683F608" w14:textId="77777777" w:rsidR="00920FA8" w:rsidRDefault="00920FA8" w:rsidP="00920FA8">
      <w:pPr>
        <w:spacing w:after="0"/>
        <w:rPr>
          <w:rFonts w:cstheme="minorHAnsi"/>
          <w:b/>
          <w:bCs/>
          <w:sz w:val="24"/>
          <w:szCs w:val="24"/>
        </w:rPr>
      </w:pPr>
    </w:p>
    <w:p w14:paraId="3F8281F9" w14:textId="77777777" w:rsidR="00920FA8" w:rsidRDefault="00920FA8" w:rsidP="00920FA8">
      <w:pPr>
        <w:spacing w:after="0"/>
        <w:jc w:val="both"/>
        <w:rPr>
          <w:sz w:val="24"/>
          <w:szCs w:val="24"/>
        </w:rPr>
      </w:pPr>
      <w:r w:rsidRPr="00FD0E84">
        <w:rPr>
          <w:sz w:val="24"/>
          <w:szCs w:val="24"/>
        </w:rPr>
        <w:t>Looduskaitsealade sihtkaitsevööndi maadelt maamaksu ei maksta, piiranguvööndis makstakse 50% ja veekaitsevööndis 50%. Vabariigi Valitsus kehtestab looduskaitsealasid ja seetõttu KOVide tulubaas väheneb</w:t>
      </w:r>
      <w:r>
        <w:rPr>
          <w:sz w:val="24"/>
          <w:szCs w:val="24"/>
        </w:rPr>
        <w:t xml:space="preserve">. Maksimaalsete määrade ja aastase maamaksu kasvu piiranguta jääb KOVidel saamata ca 6 mln eurot. Maamaksu vähenemise katteks kavandatakse KOV-idele kompensatsiooni ca 3 mln. </w:t>
      </w:r>
      <w:r w:rsidRPr="00920FA8">
        <w:rPr>
          <w:b/>
          <w:bCs/>
          <w:sz w:val="24"/>
          <w:szCs w:val="24"/>
        </w:rPr>
        <w:t>Raha võetakse tulubaasi ümberkorralduse reservi arvelt</w:t>
      </w:r>
      <w:r>
        <w:rPr>
          <w:sz w:val="24"/>
          <w:szCs w:val="24"/>
        </w:rPr>
        <w:t xml:space="preserve"> ja raha jaotatakse tasandusfondis eraldi kompensatsioonina (ei võeta arvesse KOVide tulusid). </w:t>
      </w:r>
    </w:p>
    <w:p w14:paraId="0CC10B0C" w14:textId="77777777" w:rsidR="00920FA8" w:rsidRDefault="00920FA8" w:rsidP="00920FA8">
      <w:pPr>
        <w:pStyle w:val="ListParagraph"/>
        <w:ind w:left="360"/>
        <w:rPr>
          <w:rFonts w:asciiTheme="minorHAnsi" w:hAnsiTheme="minorHAnsi" w:cstheme="minorHAnsi"/>
          <w:b/>
          <w:bCs/>
          <w:sz w:val="24"/>
          <w:szCs w:val="24"/>
        </w:rPr>
      </w:pPr>
    </w:p>
    <w:p w14:paraId="64D179D0" w14:textId="42E92559" w:rsidR="00920FA8" w:rsidRDefault="00920FA8" w:rsidP="00920FA8">
      <w:pPr>
        <w:pStyle w:val="ListParagraph"/>
        <w:ind w:left="0"/>
        <w:rPr>
          <w:rFonts w:asciiTheme="minorHAnsi" w:hAnsiTheme="minorHAnsi" w:cstheme="minorHAnsi"/>
          <w:color w:val="0070C0"/>
          <w:kern w:val="2"/>
          <w:sz w:val="24"/>
          <w:szCs w:val="24"/>
        </w:rPr>
      </w:pPr>
      <w:r w:rsidRPr="003A60EF">
        <w:rPr>
          <w:rFonts w:asciiTheme="minorHAnsi" w:hAnsiTheme="minorHAnsi" w:cstheme="minorHAnsi"/>
          <w:color w:val="0070C0"/>
          <w:kern w:val="2"/>
          <w:sz w:val="24"/>
          <w:szCs w:val="24"/>
        </w:rPr>
        <w:t>Ettepanek: Alates 2025</w:t>
      </w:r>
      <w:r>
        <w:rPr>
          <w:rFonts w:asciiTheme="minorHAnsi" w:hAnsiTheme="minorHAnsi" w:cstheme="minorHAnsi"/>
          <w:color w:val="0070C0"/>
          <w:kern w:val="2"/>
          <w:sz w:val="24"/>
          <w:szCs w:val="24"/>
        </w:rPr>
        <w:t>.</w:t>
      </w:r>
      <w:r w:rsidRPr="003A60EF">
        <w:rPr>
          <w:rFonts w:asciiTheme="minorHAnsi" w:hAnsiTheme="minorHAnsi" w:cstheme="minorHAnsi"/>
          <w:color w:val="0070C0"/>
          <w:kern w:val="2"/>
          <w:sz w:val="24"/>
          <w:szCs w:val="24"/>
        </w:rPr>
        <w:t xml:space="preserve"> a kompenseerida KOVidele looduskaitse aladest tingitud maamaksu laekumise vähenemine</w:t>
      </w:r>
      <w:r>
        <w:rPr>
          <w:rFonts w:asciiTheme="minorHAnsi" w:hAnsiTheme="minorHAnsi" w:cstheme="minorHAnsi"/>
          <w:color w:val="0070C0"/>
          <w:kern w:val="2"/>
          <w:sz w:val="24"/>
          <w:szCs w:val="24"/>
        </w:rPr>
        <w:t xml:space="preserve"> summas 3 mln</w:t>
      </w:r>
      <w:r w:rsidRPr="003A60EF">
        <w:rPr>
          <w:rFonts w:asciiTheme="minorHAnsi" w:hAnsiTheme="minorHAnsi" w:cstheme="minorHAnsi"/>
          <w:color w:val="0070C0"/>
          <w:kern w:val="2"/>
          <w:sz w:val="24"/>
          <w:szCs w:val="24"/>
        </w:rPr>
        <w:t>.</w:t>
      </w:r>
      <w:r>
        <w:rPr>
          <w:rFonts w:asciiTheme="minorHAnsi" w:hAnsiTheme="minorHAnsi" w:cstheme="minorHAnsi"/>
          <w:color w:val="0070C0"/>
          <w:kern w:val="2"/>
          <w:sz w:val="24"/>
          <w:szCs w:val="24"/>
        </w:rPr>
        <w:t xml:space="preserve"> </w:t>
      </w:r>
    </w:p>
    <w:p w14:paraId="44945B2E" w14:textId="77777777" w:rsidR="00AF32A5" w:rsidRDefault="00AF32A5" w:rsidP="00920FA8">
      <w:pPr>
        <w:pStyle w:val="ListParagraph"/>
        <w:ind w:left="0"/>
        <w:rPr>
          <w:rFonts w:asciiTheme="minorHAnsi" w:hAnsiTheme="minorHAnsi" w:cstheme="minorHAnsi"/>
          <w:color w:val="0070C0"/>
          <w:kern w:val="2"/>
          <w:sz w:val="24"/>
          <w:szCs w:val="24"/>
        </w:rPr>
      </w:pPr>
    </w:p>
    <w:p w14:paraId="59B50F48" w14:textId="77777777" w:rsidR="00994B45" w:rsidRDefault="00994B45" w:rsidP="00920FA8">
      <w:pPr>
        <w:pStyle w:val="ListParagraph"/>
        <w:ind w:left="0"/>
        <w:rPr>
          <w:rFonts w:asciiTheme="minorHAnsi" w:hAnsiTheme="minorHAnsi" w:cstheme="minorHAnsi"/>
          <w:color w:val="0070C0"/>
          <w:kern w:val="2"/>
          <w:sz w:val="24"/>
          <w:szCs w:val="24"/>
        </w:rPr>
      </w:pPr>
    </w:p>
    <w:p w14:paraId="42A13603" w14:textId="77777777" w:rsidR="00994B45" w:rsidRDefault="00994B45" w:rsidP="00920FA8">
      <w:pPr>
        <w:pStyle w:val="ListParagraph"/>
        <w:ind w:left="0"/>
        <w:rPr>
          <w:rFonts w:asciiTheme="minorHAnsi" w:hAnsiTheme="minorHAnsi" w:cstheme="minorHAnsi"/>
          <w:color w:val="0070C0"/>
          <w:kern w:val="2"/>
          <w:sz w:val="24"/>
          <w:szCs w:val="24"/>
        </w:rPr>
      </w:pPr>
    </w:p>
    <w:p w14:paraId="0A596022" w14:textId="77777777" w:rsidR="00994B45" w:rsidRDefault="00994B45" w:rsidP="00920FA8">
      <w:pPr>
        <w:pStyle w:val="ListParagraph"/>
        <w:ind w:left="0"/>
        <w:rPr>
          <w:rFonts w:asciiTheme="minorHAnsi" w:hAnsiTheme="minorHAnsi" w:cstheme="minorHAnsi"/>
          <w:color w:val="0070C0"/>
          <w:kern w:val="2"/>
          <w:sz w:val="24"/>
          <w:szCs w:val="24"/>
        </w:rPr>
      </w:pPr>
    </w:p>
    <w:p w14:paraId="267A4C01" w14:textId="489C3C05" w:rsidR="00920FA8" w:rsidRPr="00920FA8" w:rsidRDefault="00920FA8" w:rsidP="00757EEC">
      <w:pPr>
        <w:pStyle w:val="ListParagraph"/>
        <w:numPr>
          <w:ilvl w:val="0"/>
          <w:numId w:val="12"/>
        </w:numPr>
        <w:rPr>
          <w:rFonts w:cstheme="minorHAnsi"/>
          <w:b/>
          <w:bCs/>
          <w:sz w:val="24"/>
          <w:szCs w:val="24"/>
        </w:rPr>
      </w:pPr>
      <w:r w:rsidRPr="00920FA8">
        <w:rPr>
          <w:rFonts w:cstheme="minorHAnsi"/>
          <w:b/>
          <w:bCs/>
          <w:sz w:val="24"/>
          <w:szCs w:val="24"/>
        </w:rPr>
        <w:lastRenderedPageBreak/>
        <w:t>Sotsiaalse taristu arendustasu</w:t>
      </w:r>
    </w:p>
    <w:p w14:paraId="3CC290AA" w14:textId="77777777" w:rsidR="00920FA8" w:rsidRPr="004462F8" w:rsidRDefault="00920FA8" w:rsidP="00920FA8">
      <w:pPr>
        <w:pStyle w:val="ListParagraph"/>
        <w:rPr>
          <w:rFonts w:asciiTheme="minorHAnsi" w:hAnsiTheme="minorHAnsi" w:cstheme="minorHAnsi"/>
          <w:sz w:val="24"/>
          <w:szCs w:val="24"/>
        </w:rPr>
      </w:pPr>
    </w:p>
    <w:p w14:paraId="0F349C7B" w14:textId="77777777" w:rsidR="00920FA8" w:rsidRDefault="00920FA8" w:rsidP="00920FA8">
      <w:pPr>
        <w:pStyle w:val="ListParagraph"/>
        <w:ind w:left="0"/>
        <w:jc w:val="both"/>
        <w:rPr>
          <w:rFonts w:ascii="Times New Roman" w:hAnsi="Times New Roman" w:cs="Times New Roman"/>
          <w:sz w:val="24"/>
          <w:szCs w:val="24"/>
        </w:rPr>
      </w:pPr>
      <w:r w:rsidRPr="004462F8">
        <w:rPr>
          <w:rFonts w:asciiTheme="minorHAnsi" w:hAnsiTheme="minorHAnsi" w:cstheme="minorHAnsi"/>
          <w:sz w:val="24"/>
          <w:szCs w:val="24"/>
        </w:rPr>
        <w:t>Sotsiaalse taristu arendustasu on mõeldud kasvava elanike arvuga KOVidele, kus on vaja juurde ehitada uusi lasteaedasid ja koole. Osa ehitamiseks mõeldud rahast (veerand kuni kolmandik uusehitiste maksumusest</w:t>
      </w:r>
      <w:r>
        <w:rPr>
          <w:rFonts w:asciiTheme="minorHAnsi" w:hAnsiTheme="minorHAnsi" w:cstheme="minorHAnsi"/>
          <w:sz w:val="24"/>
          <w:szCs w:val="24"/>
        </w:rPr>
        <w:t>)</w:t>
      </w:r>
      <w:r w:rsidRPr="004462F8">
        <w:rPr>
          <w:rFonts w:asciiTheme="minorHAnsi" w:hAnsiTheme="minorHAnsi" w:cstheme="minorHAnsi"/>
          <w:sz w:val="24"/>
          <w:szCs w:val="24"/>
        </w:rPr>
        <w:t xml:space="preserve"> kaetakse arendajalt võetud sotsiaalse taristu arendamistasuga. KOVid võtavad enamasti 4 000 – 10 000 eurot ühe elamuühiku/korteri kohta teatud arenduspiirkondades. Riigile esitatavatest KOV raamatupidamise andmetest ei ole võimalik KOVidele laekuvat tasu kogunumbrit välja võtta, sest </w:t>
      </w:r>
      <w:r>
        <w:rPr>
          <w:rFonts w:asciiTheme="minorHAnsi" w:hAnsiTheme="minorHAnsi" w:cstheme="minorHAnsi"/>
          <w:sz w:val="24"/>
          <w:szCs w:val="24"/>
        </w:rPr>
        <w:t xml:space="preserve">seda tasu õiguslikult ei eksisteeri ja </w:t>
      </w:r>
      <w:r w:rsidRPr="004462F8">
        <w:rPr>
          <w:rFonts w:asciiTheme="minorHAnsi" w:hAnsiTheme="minorHAnsi" w:cstheme="minorHAnsi"/>
          <w:sz w:val="24"/>
          <w:szCs w:val="24"/>
        </w:rPr>
        <w:t xml:space="preserve">selle tasu eristamist ei </w:t>
      </w:r>
      <w:r w:rsidRPr="00B65D23">
        <w:rPr>
          <w:rFonts w:asciiTheme="minorHAnsi" w:hAnsiTheme="minorHAnsi" w:cstheme="minorHAnsi"/>
          <w:sz w:val="24"/>
          <w:szCs w:val="24"/>
        </w:rPr>
        <w:t xml:space="preserve">nõuta. 2023. a laekus sotsiaalse taristu arendamise tasu </w:t>
      </w:r>
      <w:r>
        <w:rPr>
          <w:rFonts w:asciiTheme="minorHAnsi" w:hAnsiTheme="minorHAnsi" w:cstheme="minorHAnsi"/>
          <w:sz w:val="24"/>
          <w:szCs w:val="24"/>
        </w:rPr>
        <w:t xml:space="preserve">nt </w:t>
      </w:r>
      <w:r w:rsidRPr="00B65D23">
        <w:rPr>
          <w:rFonts w:asciiTheme="minorHAnsi" w:hAnsiTheme="minorHAnsi" w:cstheme="minorHAnsi"/>
          <w:sz w:val="24"/>
          <w:szCs w:val="24"/>
        </w:rPr>
        <w:t>Harku vallale 124 000, Rae vallale 150 000. Viimsile ja Sauele laekus paarkümmend tuhat eurot. Ülejäänud KOVid sotsiaalse taristu arendustasu eelmisel aastal ei saanud. Sotsiaalse taristu arendustasu kehtestamine siiski ei suurenda KOV-de tulusid, vaid muudab selle tasu küsimise läbipaistvamaks.</w:t>
      </w:r>
    </w:p>
    <w:p w14:paraId="7063E28A" w14:textId="77777777" w:rsidR="00920FA8" w:rsidRPr="004462F8" w:rsidRDefault="00920FA8" w:rsidP="00920FA8">
      <w:pPr>
        <w:pStyle w:val="ListParagraph"/>
        <w:ind w:left="0"/>
        <w:rPr>
          <w:rFonts w:asciiTheme="minorHAnsi" w:hAnsiTheme="minorHAnsi" w:cstheme="minorHAnsi"/>
          <w:sz w:val="24"/>
          <w:szCs w:val="24"/>
        </w:rPr>
      </w:pPr>
    </w:p>
    <w:p w14:paraId="42F6A964" w14:textId="77777777" w:rsidR="00920FA8" w:rsidRPr="004462F8" w:rsidRDefault="00920FA8" w:rsidP="00920FA8">
      <w:pPr>
        <w:pStyle w:val="ListParagraph"/>
        <w:ind w:left="0"/>
        <w:jc w:val="both"/>
        <w:rPr>
          <w:rFonts w:asciiTheme="minorHAnsi" w:hAnsiTheme="minorHAnsi" w:cstheme="minorHAnsi"/>
          <w:color w:val="0070C0"/>
          <w:kern w:val="2"/>
          <w:sz w:val="24"/>
          <w:szCs w:val="24"/>
        </w:rPr>
      </w:pPr>
      <w:r w:rsidRPr="004462F8">
        <w:rPr>
          <w:rFonts w:asciiTheme="minorHAnsi" w:hAnsiTheme="minorHAnsi" w:cstheme="minorHAnsi"/>
          <w:color w:val="0070C0"/>
          <w:kern w:val="2"/>
          <w:sz w:val="24"/>
          <w:szCs w:val="24"/>
        </w:rPr>
        <w:t>Ettepanek: 2024. a II poolaasta esitada VTK kooskõlastamiseks. Seadusmuudatus saaks jõustuda alates 2026. a.</w:t>
      </w:r>
    </w:p>
    <w:p w14:paraId="5BCD2C15" w14:textId="77777777" w:rsidR="001B6A2C" w:rsidRDefault="001B6A2C" w:rsidP="001B6A2C">
      <w:pPr>
        <w:spacing w:after="0" w:line="240" w:lineRule="auto"/>
        <w:jc w:val="both"/>
        <w:rPr>
          <w:sz w:val="24"/>
          <w:szCs w:val="24"/>
        </w:rPr>
      </w:pPr>
    </w:p>
    <w:p w14:paraId="7A14892B" w14:textId="77777777" w:rsidR="00920FA8" w:rsidRPr="004462F8" w:rsidRDefault="00920FA8" w:rsidP="00757EEC">
      <w:pPr>
        <w:pStyle w:val="ListParagraph"/>
        <w:numPr>
          <w:ilvl w:val="0"/>
          <w:numId w:val="12"/>
        </w:numPr>
        <w:jc w:val="both"/>
        <w:rPr>
          <w:rFonts w:asciiTheme="minorHAnsi" w:hAnsiTheme="minorHAnsi" w:cstheme="minorHAnsi"/>
          <w:b/>
          <w:bCs/>
          <w:sz w:val="24"/>
          <w:szCs w:val="24"/>
        </w:rPr>
      </w:pPr>
      <w:r w:rsidRPr="004462F8">
        <w:rPr>
          <w:rFonts w:asciiTheme="minorHAnsi" w:hAnsiTheme="minorHAnsi" w:cstheme="minorHAnsi"/>
          <w:b/>
          <w:bCs/>
          <w:sz w:val="24"/>
          <w:szCs w:val="24"/>
        </w:rPr>
        <w:t>Amortisatsiooni komponendi lisamine koolikoha tegevuskulu arvlemisse</w:t>
      </w:r>
    </w:p>
    <w:p w14:paraId="4075C9A4" w14:textId="77777777" w:rsidR="00920FA8" w:rsidRDefault="00920FA8" w:rsidP="00920FA8">
      <w:pPr>
        <w:spacing w:after="0" w:line="240" w:lineRule="auto"/>
        <w:jc w:val="both"/>
        <w:rPr>
          <w:sz w:val="24"/>
          <w:szCs w:val="24"/>
        </w:rPr>
      </w:pPr>
    </w:p>
    <w:p w14:paraId="7B2E5B9F" w14:textId="77777777" w:rsidR="00920FA8" w:rsidRPr="00820664" w:rsidRDefault="00920FA8" w:rsidP="00920FA8">
      <w:pPr>
        <w:spacing w:after="0" w:line="240" w:lineRule="auto"/>
        <w:jc w:val="both"/>
        <w:rPr>
          <w:rFonts w:ascii="Times New Roman" w:hAnsi="Times New Roman" w:cs="Times New Roman"/>
          <w:sz w:val="24"/>
          <w:szCs w:val="24"/>
        </w:rPr>
      </w:pPr>
      <w:r w:rsidRPr="004462F8">
        <w:rPr>
          <w:rFonts w:cstheme="minorHAnsi"/>
          <w:sz w:val="24"/>
          <w:szCs w:val="24"/>
        </w:rPr>
        <w:t>Põhikooli- ja gümnaasiumiseaduse § 83 kohaselt osalevad õpilase elukoha järgsed KOVid teise KOV koolide tegevuskulude katmises. Selle seaduse järgi kehtestab Vabariigi Valitsus kooli õppekoha tegevuskulu üleriigilise piirmäära, mis ei sisalda põhivara amortisatsiooni komponent. Lasteaia ja huvikoolide õppekohtade puhul sellist üleriigilist tegevuskulude piirmäära ei ole ning KOVid peavad ise kokku leppima selle suuruses. Samas ka koolieelsete lasteasutuste seadus võimaldab teistelt KOV-delt küsida kulude katmist üksnes piiratud kulude eest, mille hulka ei kulu põhivara amortisatsioon (§ 27 lg 6).</w:t>
      </w:r>
      <w:r>
        <w:rPr>
          <w:rFonts w:cstheme="minorHAnsi"/>
          <w:sz w:val="24"/>
          <w:szCs w:val="24"/>
        </w:rPr>
        <w:t xml:space="preserve"> </w:t>
      </w:r>
      <w:r w:rsidRPr="004137F4">
        <w:rPr>
          <w:rFonts w:cstheme="minorHAnsi"/>
          <w:sz w:val="24"/>
          <w:szCs w:val="24"/>
        </w:rPr>
        <w:t>Uus menetluses olev alushariduse seadus on lasteaedade arvlemise osas seda probleemi lahendamas.</w:t>
      </w:r>
    </w:p>
    <w:p w14:paraId="3C7DE477" w14:textId="77777777" w:rsidR="00920FA8" w:rsidRPr="004462F8" w:rsidRDefault="00920FA8" w:rsidP="00920FA8">
      <w:pPr>
        <w:spacing w:after="0" w:line="240" w:lineRule="auto"/>
        <w:jc w:val="both"/>
        <w:rPr>
          <w:rFonts w:cstheme="minorHAnsi"/>
          <w:sz w:val="24"/>
          <w:szCs w:val="24"/>
        </w:rPr>
      </w:pPr>
    </w:p>
    <w:p w14:paraId="44B26CE4" w14:textId="77777777" w:rsidR="00920FA8" w:rsidRPr="004462F8" w:rsidRDefault="00920FA8" w:rsidP="00920FA8">
      <w:pPr>
        <w:spacing w:after="0" w:line="240" w:lineRule="auto"/>
        <w:jc w:val="both"/>
        <w:rPr>
          <w:rFonts w:cstheme="minorHAnsi"/>
          <w:sz w:val="24"/>
          <w:szCs w:val="24"/>
        </w:rPr>
      </w:pPr>
      <w:r w:rsidRPr="004462F8">
        <w:rPr>
          <w:rFonts w:cstheme="minorHAnsi"/>
          <w:sz w:val="24"/>
          <w:szCs w:val="24"/>
        </w:rPr>
        <w:t xml:space="preserve">Peamiselt pakuvad teistele KOV-dele täiendavaid haridusteenuseid keskused, kes peavad oma eelarvevahenditega remontima hooneid, omamata võimalust naaberomavalitsuste käest selleks proportsionaalset katet küsida. See paneb keskus KOVide eelarved täiendava surve alla, leidmaks raha nii teenuse osutamiseks kui taristu parendamiseks. Näiteks amortisatsiooni komponendi suurus 2023. a arvestustes oleks ca 21 eurot kuus koolilapse kohta, mis suurendab prognoositavalt arvlemise mahtu ca 2 mln eurot aastas. Suurimad tulu saajad </w:t>
      </w:r>
      <w:r w:rsidRPr="00615F15">
        <w:rPr>
          <w:rFonts w:cstheme="minorHAnsi"/>
          <w:sz w:val="24"/>
          <w:szCs w:val="24"/>
        </w:rPr>
        <w:t>2022/2023.a õppeaasta õpilaste liikumise kohaselt</w:t>
      </w:r>
      <w:r w:rsidRPr="004462F8">
        <w:rPr>
          <w:rFonts w:cstheme="minorHAnsi"/>
          <w:sz w:val="24"/>
          <w:szCs w:val="24"/>
        </w:rPr>
        <w:t>: Tallinn 800 000, Tartu linn 450 000, Pärnu linn 130 000. Suurimad maksjad prognoositavalt (üle 100 tuhande): Harku, Viimsi, Rae, Saue, Tori.</w:t>
      </w:r>
    </w:p>
    <w:p w14:paraId="0C08417F" w14:textId="77777777" w:rsidR="00920FA8" w:rsidRPr="004462F8" w:rsidRDefault="00920FA8" w:rsidP="00920FA8">
      <w:pPr>
        <w:spacing w:after="0" w:line="240" w:lineRule="auto"/>
        <w:jc w:val="both"/>
        <w:rPr>
          <w:rFonts w:cstheme="minorHAnsi"/>
          <w:sz w:val="24"/>
          <w:szCs w:val="24"/>
        </w:rPr>
      </w:pPr>
    </w:p>
    <w:p w14:paraId="33C5505F" w14:textId="77777777" w:rsidR="00920FA8" w:rsidRPr="004462F8" w:rsidRDefault="00920FA8" w:rsidP="00920FA8">
      <w:pPr>
        <w:spacing w:after="0" w:line="240" w:lineRule="auto"/>
        <w:jc w:val="both"/>
        <w:rPr>
          <w:rFonts w:cstheme="minorHAnsi"/>
          <w:sz w:val="24"/>
          <w:szCs w:val="24"/>
        </w:rPr>
      </w:pPr>
      <w:r w:rsidRPr="004462F8">
        <w:rPr>
          <w:rFonts w:cstheme="minorHAnsi"/>
          <w:sz w:val="24"/>
          <w:szCs w:val="24"/>
        </w:rPr>
        <w:t xml:space="preserve">Teema on mitmetahuline, kuna koolikoha tegevuskulu arvlemise määra suurus mõjutab paljusid aspekte nagu riigikohtu otsus koolikoha tegevuskulu arvlemise teemal, erakoolide toetus, HEV laste rahastus toetusfondis. </w:t>
      </w:r>
    </w:p>
    <w:p w14:paraId="29213BDF" w14:textId="77777777" w:rsidR="00920FA8" w:rsidRDefault="00920FA8" w:rsidP="001B6A2C">
      <w:pPr>
        <w:spacing w:after="0" w:line="240" w:lineRule="auto"/>
        <w:jc w:val="both"/>
        <w:rPr>
          <w:sz w:val="24"/>
          <w:szCs w:val="24"/>
        </w:rPr>
      </w:pPr>
    </w:p>
    <w:p w14:paraId="5B757EF0" w14:textId="1633498A" w:rsidR="00920FA8" w:rsidRDefault="00920FA8" w:rsidP="00920FA8">
      <w:pPr>
        <w:pStyle w:val="ListParagraph"/>
        <w:ind w:left="0"/>
        <w:jc w:val="both"/>
        <w:rPr>
          <w:rFonts w:asciiTheme="minorHAnsi" w:hAnsiTheme="minorHAnsi" w:cstheme="minorHAnsi"/>
          <w:color w:val="0070C0"/>
          <w:kern w:val="2"/>
          <w:sz w:val="24"/>
          <w:szCs w:val="24"/>
        </w:rPr>
      </w:pPr>
      <w:r w:rsidRPr="004462F8">
        <w:rPr>
          <w:rFonts w:asciiTheme="minorHAnsi" w:hAnsiTheme="minorHAnsi" w:cstheme="minorHAnsi"/>
          <w:color w:val="0070C0"/>
          <w:kern w:val="2"/>
          <w:sz w:val="24"/>
          <w:szCs w:val="24"/>
        </w:rPr>
        <w:t>Ettepanek</w:t>
      </w:r>
      <w:r>
        <w:rPr>
          <w:rFonts w:asciiTheme="minorHAnsi" w:hAnsiTheme="minorHAnsi" w:cstheme="minorHAnsi"/>
          <w:color w:val="0070C0"/>
          <w:kern w:val="2"/>
          <w:sz w:val="24"/>
          <w:szCs w:val="24"/>
        </w:rPr>
        <w:t>:</w:t>
      </w:r>
      <w:r w:rsidRPr="004462F8">
        <w:rPr>
          <w:rFonts w:asciiTheme="minorHAnsi" w:hAnsiTheme="minorHAnsi" w:cstheme="minorHAnsi"/>
          <w:color w:val="0070C0"/>
          <w:kern w:val="2"/>
          <w:sz w:val="24"/>
          <w:szCs w:val="24"/>
        </w:rPr>
        <w:t xml:space="preserve"> </w:t>
      </w:r>
      <w:r>
        <w:rPr>
          <w:rFonts w:asciiTheme="minorHAnsi" w:hAnsiTheme="minorHAnsi" w:cstheme="minorHAnsi"/>
          <w:color w:val="0070C0"/>
          <w:kern w:val="2"/>
          <w:sz w:val="24"/>
          <w:szCs w:val="24"/>
        </w:rPr>
        <w:t>Eeldatavasti</w:t>
      </w:r>
      <w:r w:rsidRPr="004462F8">
        <w:rPr>
          <w:rFonts w:asciiTheme="minorHAnsi" w:hAnsiTheme="minorHAnsi" w:cstheme="minorHAnsi"/>
          <w:color w:val="0070C0"/>
          <w:kern w:val="2"/>
          <w:sz w:val="24"/>
          <w:szCs w:val="24"/>
        </w:rPr>
        <w:t xml:space="preserve"> 202</w:t>
      </w:r>
      <w:r>
        <w:rPr>
          <w:rFonts w:asciiTheme="minorHAnsi" w:hAnsiTheme="minorHAnsi" w:cstheme="minorHAnsi"/>
          <w:color w:val="0070C0"/>
          <w:kern w:val="2"/>
          <w:sz w:val="24"/>
          <w:szCs w:val="24"/>
        </w:rPr>
        <w:t>6</w:t>
      </w:r>
      <w:r w:rsidRPr="004462F8">
        <w:rPr>
          <w:rFonts w:asciiTheme="minorHAnsi" w:hAnsiTheme="minorHAnsi" w:cstheme="minorHAnsi"/>
          <w:color w:val="0070C0"/>
          <w:kern w:val="2"/>
          <w:sz w:val="24"/>
          <w:szCs w:val="24"/>
        </w:rPr>
        <w:t>. a rakendada koolikoha arvlemises amortisatsiooni komponenti.</w:t>
      </w:r>
    </w:p>
    <w:p w14:paraId="3A806A7D" w14:textId="77777777" w:rsidR="00AF32A5" w:rsidRDefault="00AF32A5" w:rsidP="00920FA8">
      <w:pPr>
        <w:pStyle w:val="ListParagraph"/>
        <w:ind w:left="0"/>
        <w:jc w:val="both"/>
        <w:rPr>
          <w:rFonts w:asciiTheme="minorHAnsi" w:hAnsiTheme="minorHAnsi" w:cstheme="minorHAnsi"/>
          <w:color w:val="0070C0"/>
          <w:kern w:val="2"/>
          <w:sz w:val="24"/>
          <w:szCs w:val="24"/>
        </w:rPr>
      </w:pPr>
    </w:p>
    <w:p w14:paraId="5133714A" w14:textId="77777777" w:rsidR="00994B45" w:rsidRDefault="00994B45" w:rsidP="00920FA8">
      <w:pPr>
        <w:pStyle w:val="ListParagraph"/>
        <w:ind w:left="0"/>
        <w:jc w:val="both"/>
        <w:rPr>
          <w:rFonts w:asciiTheme="minorHAnsi" w:hAnsiTheme="minorHAnsi" w:cstheme="minorHAnsi"/>
          <w:color w:val="0070C0"/>
          <w:kern w:val="2"/>
          <w:sz w:val="24"/>
          <w:szCs w:val="24"/>
        </w:rPr>
      </w:pPr>
    </w:p>
    <w:p w14:paraId="0D39DDA3" w14:textId="77777777" w:rsidR="00994B45" w:rsidRDefault="00994B45" w:rsidP="00920FA8">
      <w:pPr>
        <w:pStyle w:val="ListParagraph"/>
        <w:ind w:left="0"/>
        <w:jc w:val="both"/>
        <w:rPr>
          <w:rFonts w:asciiTheme="minorHAnsi" w:hAnsiTheme="minorHAnsi" w:cstheme="minorHAnsi"/>
          <w:color w:val="0070C0"/>
          <w:kern w:val="2"/>
          <w:sz w:val="24"/>
          <w:szCs w:val="24"/>
        </w:rPr>
      </w:pPr>
    </w:p>
    <w:p w14:paraId="7AEC9B16" w14:textId="77777777" w:rsidR="00994B45" w:rsidRDefault="00994B45" w:rsidP="00920FA8">
      <w:pPr>
        <w:pStyle w:val="ListParagraph"/>
        <w:ind w:left="0"/>
        <w:jc w:val="both"/>
        <w:rPr>
          <w:rFonts w:asciiTheme="minorHAnsi" w:hAnsiTheme="minorHAnsi" w:cstheme="minorHAnsi"/>
          <w:color w:val="0070C0"/>
          <w:kern w:val="2"/>
          <w:sz w:val="24"/>
          <w:szCs w:val="24"/>
        </w:rPr>
      </w:pPr>
    </w:p>
    <w:p w14:paraId="3196A942" w14:textId="77777777" w:rsidR="00994B45" w:rsidRDefault="00994B45" w:rsidP="00920FA8">
      <w:pPr>
        <w:pStyle w:val="ListParagraph"/>
        <w:ind w:left="0"/>
        <w:jc w:val="both"/>
        <w:rPr>
          <w:rFonts w:asciiTheme="minorHAnsi" w:hAnsiTheme="minorHAnsi" w:cstheme="minorHAnsi"/>
          <w:color w:val="0070C0"/>
          <w:kern w:val="2"/>
          <w:sz w:val="24"/>
          <w:szCs w:val="24"/>
        </w:rPr>
      </w:pPr>
    </w:p>
    <w:p w14:paraId="29433B54" w14:textId="6B03349C" w:rsidR="00A00CAA" w:rsidRPr="004462F8" w:rsidRDefault="00A00CAA" w:rsidP="00757EEC">
      <w:pPr>
        <w:pStyle w:val="ListParagraph"/>
        <w:numPr>
          <w:ilvl w:val="0"/>
          <w:numId w:val="12"/>
        </w:numPr>
        <w:jc w:val="both"/>
        <w:rPr>
          <w:rFonts w:asciiTheme="minorHAnsi" w:hAnsiTheme="minorHAnsi" w:cstheme="minorHAnsi"/>
          <w:b/>
          <w:bCs/>
          <w:sz w:val="24"/>
          <w:szCs w:val="24"/>
        </w:rPr>
      </w:pPr>
      <w:r w:rsidRPr="004462F8">
        <w:rPr>
          <w:rFonts w:asciiTheme="minorHAnsi" w:hAnsiTheme="minorHAnsi" w:cstheme="minorHAnsi"/>
          <w:b/>
          <w:bCs/>
          <w:sz w:val="24"/>
          <w:szCs w:val="24"/>
        </w:rPr>
        <w:lastRenderedPageBreak/>
        <w:t>Tasandusfondi valemi muutmine</w:t>
      </w:r>
    </w:p>
    <w:p w14:paraId="1347BD57" w14:textId="77777777" w:rsidR="00A00CAA" w:rsidRPr="004462F8" w:rsidRDefault="00A00CAA" w:rsidP="00A00CAA">
      <w:pPr>
        <w:spacing w:after="0" w:line="240" w:lineRule="auto"/>
        <w:jc w:val="both"/>
        <w:rPr>
          <w:rFonts w:cstheme="minorHAnsi"/>
          <w:sz w:val="24"/>
          <w:szCs w:val="24"/>
        </w:rPr>
      </w:pPr>
    </w:p>
    <w:p w14:paraId="42377272" w14:textId="77777777" w:rsidR="00A00CAA" w:rsidRPr="004137F4" w:rsidRDefault="00A00CAA" w:rsidP="00A00CAA">
      <w:pPr>
        <w:spacing w:after="0" w:line="240" w:lineRule="auto"/>
        <w:jc w:val="both"/>
        <w:rPr>
          <w:rFonts w:cstheme="minorHAnsi"/>
          <w:sz w:val="24"/>
          <w:szCs w:val="24"/>
        </w:rPr>
      </w:pPr>
      <w:r w:rsidRPr="004137F4">
        <w:rPr>
          <w:rFonts w:cstheme="minorHAnsi"/>
          <w:sz w:val="24"/>
          <w:szCs w:val="24"/>
        </w:rPr>
        <w:t>Tasandusfond koosneb mitmest blokist: finantsiliste võimaluste tasandus, väikesaarte toetus, pikaajalise hoolduse toetus, keskkonnatasude üleminekutoetus, ühinemise ülemineku</w:t>
      </w:r>
      <w:r>
        <w:rPr>
          <w:rFonts w:cstheme="minorHAnsi"/>
          <w:sz w:val="24"/>
          <w:szCs w:val="24"/>
        </w:rPr>
        <w:t xml:space="preserve"> kompensatsioon</w:t>
      </w:r>
      <w:r w:rsidRPr="004137F4">
        <w:rPr>
          <w:rFonts w:cstheme="minorHAnsi"/>
          <w:sz w:val="24"/>
          <w:szCs w:val="24"/>
        </w:rPr>
        <w:t xml:space="preserve">. </w:t>
      </w:r>
    </w:p>
    <w:p w14:paraId="642E4FF6" w14:textId="77777777" w:rsidR="00A00CAA" w:rsidRDefault="00A00CAA" w:rsidP="00A00CAA">
      <w:pPr>
        <w:spacing w:after="0" w:line="240" w:lineRule="auto"/>
        <w:jc w:val="both"/>
        <w:rPr>
          <w:rFonts w:cstheme="minorHAnsi"/>
          <w:sz w:val="24"/>
          <w:szCs w:val="24"/>
        </w:rPr>
      </w:pPr>
    </w:p>
    <w:p w14:paraId="5FBE7452" w14:textId="77777777" w:rsidR="00A00CAA" w:rsidRPr="004137F4" w:rsidRDefault="00A00CAA" w:rsidP="00A00CAA">
      <w:pPr>
        <w:spacing w:after="0" w:line="240" w:lineRule="auto"/>
        <w:jc w:val="both"/>
        <w:rPr>
          <w:rFonts w:cstheme="minorHAnsi"/>
          <w:sz w:val="24"/>
          <w:szCs w:val="24"/>
        </w:rPr>
      </w:pPr>
      <w:r w:rsidRPr="004137F4">
        <w:rPr>
          <w:rFonts w:cstheme="minorHAnsi"/>
          <w:sz w:val="24"/>
          <w:szCs w:val="24"/>
        </w:rPr>
        <w:t xml:space="preserve">Tasandusest saavad </w:t>
      </w:r>
      <w:r>
        <w:rPr>
          <w:rFonts w:cstheme="minorHAnsi"/>
          <w:sz w:val="24"/>
          <w:szCs w:val="24"/>
        </w:rPr>
        <w:t>raha</w:t>
      </w:r>
      <w:r w:rsidRPr="004137F4">
        <w:rPr>
          <w:rFonts w:cstheme="minorHAnsi"/>
          <w:sz w:val="24"/>
          <w:szCs w:val="24"/>
        </w:rPr>
        <w:t xml:space="preserve"> 80% omavalitsustest. Tasandus</w:t>
      </w:r>
      <w:r>
        <w:rPr>
          <w:rFonts w:cstheme="minorHAnsi"/>
          <w:sz w:val="24"/>
          <w:szCs w:val="24"/>
        </w:rPr>
        <w:t>est</w:t>
      </w:r>
      <w:r w:rsidRPr="004137F4">
        <w:rPr>
          <w:rFonts w:cstheme="minorHAnsi"/>
          <w:sz w:val="24"/>
          <w:szCs w:val="24"/>
        </w:rPr>
        <w:t xml:space="preserve"> saavad raha need KOVid, kus tulumaks ja maamaks ei kata nn kõigi omavalitsuste osas võrdselt aluseks võetud kuluparameetrite järgi arvestatud </w:t>
      </w:r>
      <w:r>
        <w:rPr>
          <w:rFonts w:cstheme="minorHAnsi"/>
          <w:sz w:val="24"/>
          <w:szCs w:val="24"/>
        </w:rPr>
        <w:t xml:space="preserve">nn </w:t>
      </w:r>
      <w:r w:rsidRPr="004137F4">
        <w:rPr>
          <w:rFonts w:cstheme="minorHAnsi"/>
          <w:sz w:val="24"/>
          <w:szCs w:val="24"/>
        </w:rPr>
        <w:t>kuluvajadust. Põhjendamatu oleks määrata, et osade KOVide rahastus peaks olema allapoole tasandusfondi saajate rahastuse taset mingite parameetrite järgi, mis KOVi nn kuluvajadust ei iseloomustaks.</w:t>
      </w:r>
    </w:p>
    <w:p w14:paraId="28815378" w14:textId="77777777" w:rsidR="00A00CAA" w:rsidRPr="004137F4" w:rsidRDefault="00A00CAA" w:rsidP="00A00CAA">
      <w:pPr>
        <w:spacing w:after="0" w:line="240" w:lineRule="auto"/>
        <w:jc w:val="both"/>
        <w:rPr>
          <w:rFonts w:cstheme="minorHAnsi"/>
          <w:sz w:val="24"/>
          <w:szCs w:val="24"/>
        </w:rPr>
      </w:pPr>
    </w:p>
    <w:p w14:paraId="046BE8BB" w14:textId="77777777" w:rsidR="00A00CAA" w:rsidRPr="004137F4" w:rsidRDefault="00A00CAA" w:rsidP="00A00CAA">
      <w:pPr>
        <w:spacing w:after="0" w:line="240" w:lineRule="auto"/>
        <w:jc w:val="both"/>
        <w:rPr>
          <w:rFonts w:cstheme="minorHAnsi"/>
          <w:sz w:val="24"/>
          <w:szCs w:val="24"/>
        </w:rPr>
      </w:pPr>
      <w:r w:rsidRPr="004137F4">
        <w:rPr>
          <w:rFonts w:cstheme="minorHAnsi"/>
          <w:sz w:val="24"/>
          <w:szCs w:val="24"/>
        </w:rPr>
        <w:t>Teiste osadest saavad osa aga ka muud omavalitsused vastavalt nende teiste osade tingimustele.</w:t>
      </w:r>
      <w:r>
        <w:rPr>
          <w:rFonts w:cstheme="minorHAnsi"/>
          <w:sz w:val="24"/>
          <w:szCs w:val="24"/>
        </w:rPr>
        <w:t xml:space="preserve"> </w:t>
      </w:r>
      <w:r w:rsidRPr="004137F4">
        <w:rPr>
          <w:rFonts w:cstheme="minorHAnsi"/>
          <w:sz w:val="24"/>
          <w:szCs w:val="24"/>
        </w:rPr>
        <w:t>Näiteks väikesaartel on eraldatusest tingitud täiendav kuluvajadus. Selle toetuse arvestamisel ei võeta arvesse KOV tulusid ja selle arvelt saavad raha nt Tallinn (Aegna) ja Viimsi (Prangli, Naissaar, Kräsuli) vastavalt  väikesaarte seadusele.</w:t>
      </w:r>
    </w:p>
    <w:p w14:paraId="3ACC0202" w14:textId="77777777" w:rsidR="00A00CAA" w:rsidRDefault="00A00CAA" w:rsidP="00A00CAA">
      <w:pPr>
        <w:spacing w:after="0" w:line="240" w:lineRule="auto"/>
        <w:jc w:val="both"/>
        <w:rPr>
          <w:rFonts w:cstheme="minorHAnsi"/>
          <w:sz w:val="24"/>
          <w:szCs w:val="24"/>
        </w:rPr>
      </w:pPr>
    </w:p>
    <w:p w14:paraId="3F75E9C8" w14:textId="77777777" w:rsidR="00A00CAA" w:rsidRDefault="00A00CAA" w:rsidP="00A00CAA">
      <w:pPr>
        <w:spacing w:after="0" w:line="240" w:lineRule="auto"/>
        <w:jc w:val="both"/>
        <w:rPr>
          <w:rFonts w:cstheme="minorHAnsi"/>
          <w:sz w:val="24"/>
          <w:szCs w:val="24"/>
        </w:rPr>
      </w:pPr>
      <w:r w:rsidRPr="004137F4">
        <w:rPr>
          <w:rFonts w:cstheme="minorHAnsi"/>
          <w:sz w:val="24"/>
          <w:szCs w:val="24"/>
        </w:rPr>
        <w:t xml:space="preserve">Alates 2025.a võtame arvesse uuendatud tagamaalisuse koefitsiendid, mis vähendavad vahepeal tiheasustuseks kasvanud piirkondade rahastust. Muudatus mõjutab eelkõige Tartu linna ümbrust. </w:t>
      </w:r>
      <w:r>
        <w:rPr>
          <w:rFonts w:cstheme="minorHAnsi"/>
          <w:sz w:val="24"/>
          <w:szCs w:val="24"/>
        </w:rPr>
        <w:t>Üleminek uutele koefitsientidele toimuks järk-järgult ehk kolmandiku võrra aastas.</w:t>
      </w:r>
    </w:p>
    <w:p w14:paraId="4A78D56D" w14:textId="77777777" w:rsidR="00757EEC" w:rsidRDefault="00757EEC" w:rsidP="00A00CAA">
      <w:pPr>
        <w:spacing w:after="0" w:line="240" w:lineRule="auto"/>
        <w:jc w:val="both"/>
        <w:rPr>
          <w:rFonts w:cstheme="minorHAnsi"/>
          <w:sz w:val="24"/>
          <w:szCs w:val="24"/>
        </w:rPr>
      </w:pPr>
    </w:p>
    <w:p w14:paraId="10FC0A97" w14:textId="7807B75A" w:rsidR="00A00CAA" w:rsidRPr="004462F8" w:rsidRDefault="00A356B9" w:rsidP="00A00CAA">
      <w:pPr>
        <w:spacing w:after="0" w:line="240" w:lineRule="auto"/>
        <w:jc w:val="both"/>
        <w:rPr>
          <w:rFonts w:cstheme="minorHAnsi"/>
          <w:sz w:val="24"/>
          <w:szCs w:val="24"/>
        </w:rPr>
      </w:pPr>
      <w:r>
        <w:rPr>
          <w:rFonts w:cstheme="minorHAnsi"/>
          <w:sz w:val="24"/>
          <w:szCs w:val="24"/>
        </w:rPr>
        <w:t xml:space="preserve">Näide 2 </w:t>
      </w:r>
      <w:r w:rsidR="00A00CAA" w:rsidRPr="004462F8">
        <w:rPr>
          <w:rFonts w:cstheme="minorHAnsi"/>
          <w:sz w:val="24"/>
          <w:szCs w:val="24"/>
        </w:rPr>
        <w:t xml:space="preserve">Tagamaalisuse koefitsientide muudatused vs alates 2016. a kasutusel olnutega  </w:t>
      </w:r>
    </w:p>
    <w:p w14:paraId="302EEBEB" w14:textId="77777777" w:rsidR="00A00CAA" w:rsidRPr="004137F4" w:rsidRDefault="00A00CAA" w:rsidP="00A00CAA">
      <w:pPr>
        <w:spacing w:after="0" w:line="240" w:lineRule="auto"/>
        <w:jc w:val="both"/>
        <w:rPr>
          <w:rFonts w:cstheme="minorHAnsi"/>
          <w:sz w:val="24"/>
          <w:szCs w:val="24"/>
        </w:rPr>
      </w:pPr>
    </w:p>
    <w:tbl>
      <w:tblPr>
        <w:tblpPr w:leftFromText="141" w:rightFromText="141" w:vertAnchor="text" w:horzAnchor="margin" w:tblpY="199"/>
        <w:tblW w:w="4102" w:type="dxa"/>
        <w:tblCellMar>
          <w:left w:w="0" w:type="dxa"/>
          <w:right w:w="0" w:type="dxa"/>
        </w:tblCellMar>
        <w:tblLook w:val="04A0" w:firstRow="1" w:lastRow="0" w:firstColumn="1" w:lastColumn="0" w:noHBand="0" w:noVBand="1"/>
      </w:tblPr>
      <w:tblGrid>
        <w:gridCol w:w="1550"/>
        <w:gridCol w:w="850"/>
        <w:gridCol w:w="851"/>
        <w:gridCol w:w="851"/>
      </w:tblGrid>
      <w:tr w:rsidR="00A00CAA" w:rsidRPr="00960CE9" w14:paraId="226EACC7" w14:textId="77777777" w:rsidTr="00D2244E">
        <w:trPr>
          <w:trHeight w:val="300"/>
        </w:trPr>
        <w:tc>
          <w:tcPr>
            <w:tcW w:w="155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31D6A08" w14:textId="77777777" w:rsidR="00A00CAA" w:rsidRPr="00960CE9" w:rsidRDefault="00A00CAA" w:rsidP="00D2244E">
            <w:pPr>
              <w:spacing w:after="0" w:line="240" w:lineRule="auto"/>
              <w:rPr>
                <w:rFonts w:ascii="Calibri" w:eastAsia="Calibri" w:hAnsi="Calibri" w:cs="Calibri"/>
                <w:b/>
                <w:bCs/>
                <w:color w:val="000000"/>
                <w:kern w:val="0"/>
                <w:lang w:eastAsia="et-EE"/>
                <w14:ligatures w14:val="none"/>
              </w:rPr>
            </w:pPr>
            <w:r w:rsidRPr="00960CE9">
              <w:rPr>
                <w:rFonts w:ascii="Calibri" w:eastAsia="Calibri" w:hAnsi="Calibri" w:cs="Calibri"/>
                <w:b/>
                <w:bCs/>
                <w:color w:val="000000"/>
                <w:kern w:val="0"/>
                <w:lang w:eastAsia="et-EE"/>
                <w14:ligatures w14:val="none"/>
              </w:rPr>
              <w:t>Omavalitsus</w:t>
            </w:r>
          </w:p>
        </w:tc>
        <w:tc>
          <w:tcPr>
            <w:tcW w:w="85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6A7973F5" w14:textId="77777777" w:rsidR="00A00CAA" w:rsidRPr="00960CE9" w:rsidRDefault="00A00CAA" w:rsidP="00D2244E">
            <w:pPr>
              <w:spacing w:after="0" w:line="240" w:lineRule="auto"/>
              <w:jc w:val="center"/>
              <w:rPr>
                <w:rFonts w:ascii="Calibri" w:eastAsia="Calibri" w:hAnsi="Calibri" w:cs="Calibri"/>
                <w:b/>
                <w:bCs/>
                <w:color w:val="000000"/>
                <w:kern w:val="0"/>
                <w:lang w:eastAsia="et-EE"/>
                <w14:ligatures w14:val="none"/>
              </w:rPr>
            </w:pPr>
            <w:r w:rsidRPr="00960CE9">
              <w:rPr>
                <w:rFonts w:ascii="Calibri" w:eastAsia="Calibri" w:hAnsi="Calibri" w:cs="Calibri"/>
                <w:b/>
                <w:bCs/>
                <w:color w:val="000000"/>
                <w:kern w:val="0"/>
                <w:lang w:eastAsia="et-EE"/>
                <w14:ligatures w14:val="none"/>
              </w:rPr>
              <w:t>2016</w:t>
            </w:r>
          </w:p>
        </w:tc>
        <w:tc>
          <w:tcPr>
            <w:tcW w:w="85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062654B" w14:textId="77777777" w:rsidR="00A00CAA" w:rsidRPr="00960CE9" w:rsidRDefault="00A00CAA" w:rsidP="00D2244E">
            <w:pPr>
              <w:spacing w:after="0" w:line="240" w:lineRule="auto"/>
              <w:jc w:val="center"/>
              <w:rPr>
                <w:rFonts w:ascii="Calibri" w:eastAsia="Calibri" w:hAnsi="Calibri" w:cs="Calibri"/>
                <w:b/>
                <w:bCs/>
                <w:color w:val="000000"/>
                <w:kern w:val="0"/>
                <w:lang w:eastAsia="et-EE"/>
                <w14:ligatures w14:val="none"/>
              </w:rPr>
            </w:pPr>
            <w:r w:rsidRPr="00960CE9">
              <w:rPr>
                <w:rFonts w:ascii="Calibri" w:eastAsia="Calibri" w:hAnsi="Calibri" w:cs="Calibri"/>
                <w:b/>
                <w:bCs/>
                <w:color w:val="000000"/>
                <w:kern w:val="0"/>
                <w:lang w:eastAsia="et-EE"/>
                <w14:ligatures w14:val="none"/>
              </w:rPr>
              <w:t>2023</w:t>
            </w:r>
          </w:p>
        </w:tc>
        <w:tc>
          <w:tcPr>
            <w:tcW w:w="85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69D4C3F6" w14:textId="77777777" w:rsidR="00A00CAA" w:rsidRPr="00960CE9" w:rsidRDefault="00A00CAA" w:rsidP="00D2244E">
            <w:pPr>
              <w:spacing w:after="0" w:line="240" w:lineRule="auto"/>
              <w:jc w:val="center"/>
              <w:rPr>
                <w:rFonts w:ascii="Calibri" w:eastAsia="Calibri" w:hAnsi="Calibri" w:cs="Calibri"/>
                <w:b/>
                <w:bCs/>
                <w:color w:val="000000"/>
                <w:kern w:val="0"/>
                <w:lang w:eastAsia="et-EE"/>
                <w14:ligatures w14:val="none"/>
              </w:rPr>
            </w:pPr>
            <w:r w:rsidRPr="00960CE9">
              <w:rPr>
                <w:rFonts w:ascii="Calibri" w:eastAsia="Calibri" w:hAnsi="Calibri" w:cs="Calibri"/>
                <w:b/>
                <w:bCs/>
                <w:color w:val="000000"/>
                <w:kern w:val="0"/>
                <w:lang w:eastAsia="et-EE"/>
                <w14:ligatures w14:val="none"/>
              </w:rPr>
              <w:t>Muutus</w:t>
            </w:r>
          </w:p>
        </w:tc>
      </w:tr>
      <w:tr w:rsidR="00A00CAA" w:rsidRPr="00960CE9" w14:paraId="6E2529E5"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E7242A"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Antsla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6318E0"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1,88</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BE3D5D"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1,80</w:t>
            </w:r>
          </w:p>
        </w:tc>
        <w:tc>
          <w:tcPr>
            <w:tcW w:w="851" w:type="dxa"/>
            <w:tcBorders>
              <w:top w:val="nil"/>
              <w:left w:val="nil"/>
              <w:bottom w:val="single" w:sz="8" w:space="0" w:color="auto"/>
              <w:right w:val="single" w:sz="8" w:space="0" w:color="auto"/>
            </w:tcBorders>
            <w:shd w:val="clear" w:color="auto" w:fill="E9E583"/>
            <w:noWrap/>
            <w:tcMar>
              <w:top w:w="0" w:type="dxa"/>
              <w:left w:w="70" w:type="dxa"/>
              <w:bottom w:w="0" w:type="dxa"/>
              <w:right w:w="70" w:type="dxa"/>
            </w:tcMar>
            <w:vAlign w:val="bottom"/>
            <w:hideMark/>
          </w:tcPr>
          <w:p w14:paraId="2144F98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-0,08</w:t>
            </w:r>
          </w:p>
        </w:tc>
      </w:tr>
      <w:tr w:rsidR="00A00CAA" w:rsidRPr="00960CE9" w14:paraId="3C921849"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C53A71"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Harku</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5FCB7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1,39</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0D092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1,13</w:t>
            </w:r>
          </w:p>
        </w:tc>
        <w:tc>
          <w:tcPr>
            <w:tcW w:w="851" w:type="dxa"/>
            <w:tcBorders>
              <w:top w:val="nil"/>
              <w:left w:val="nil"/>
              <w:bottom w:val="single" w:sz="8" w:space="0" w:color="auto"/>
              <w:right w:val="single" w:sz="8" w:space="0" w:color="auto"/>
            </w:tcBorders>
            <w:shd w:val="clear" w:color="auto" w:fill="FA9673"/>
            <w:noWrap/>
            <w:tcMar>
              <w:top w:w="0" w:type="dxa"/>
              <w:left w:w="70" w:type="dxa"/>
              <w:bottom w:w="0" w:type="dxa"/>
              <w:right w:w="70" w:type="dxa"/>
            </w:tcMar>
            <w:vAlign w:val="bottom"/>
            <w:hideMark/>
          </w:tcPr>
          <w:p w14:paraId="4824886A"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-0,26</w:t>
            </w:r>
          </w:p>
        </w:tc>
      </w:tr>
      <w:tr w:rsidR="00A00CAA" w:rsidRPr="00960CE9" w14:paraId="0886E377"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BA70D3"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Jõelähtme</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87335B"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1,81</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CA08B2"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1,47</w:t>
            </w:r>
          </w:p>
        </w:tc>
        <w:tc>
          <w:tcPr>
            <w:tcW w:w="851" w:type="dxa"/>
            <w:tcBorders>
              <w:top w:val="nil"/>
              <w:left w:val="nil"/>
              <w:bottom w:val="single" w:sz="8" w:space="0" w:color="auto"/>
              <w:right w:val="single" w:sz="8" w:space="0" w:color="auto"/>
            </w:tcBorders>
            <w:shd w:val="clear" w:color="auto" w:fill="F8696B"/>
            <w:noWrap/>
            <w:tcMar>
              <w:top w:w="0" w:type="dxa"/>
              <w:left w:w="70" w:type="dxa"/>
              <w:bottom w:w="0" w:type="dxa"/>
              <w:right w:w="70" w:type="dxa"/>
            </w:tcMar>
            <w:vAlign w:val="bottom"/>
            <w:hideMark/>
          </w:tcPr>
          <w:p w14:paraId="44BC57F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-0,34</w:t>
            </w:r>
          </w:p>
        </w:tc>
      </w:tr>
      <w:tr w:rsidR="00A00CAA" w:rsidRPr="00960CE9" w14:paraId="79A1B46C"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D10C12"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Kambja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C8DF17"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1,45</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2332F2"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1,27</w:t>
            </w:r>
          </w:p>
        </w:tc>
        <w:tc>
          <w:tcPr>
            <w:tcW w:w="851" w:type="dxa"/>
            <w:tcBorders>
              <w:top w:val="nil"/>
              <w:left w:val="nil"/>
              <w:bottom w:val="single" w:sz="8" w:space="0" w:color="auto"/>
              <w:right w:val="single" w:sz="8" w:space="0" w:color="auto"/>
            </w:tcBorders>
            <w:shd w:val="clear" w:color="auto" w:fill="FCC37C"/>
            <w:noWrap/>
            <w:tcMar>
              <w:top w:w="0" w:type="dxa"/>
              <w:left w:w="70" w:type="dxa"/>
              <w:bottom w:w="0" w:type="dxa"/>
              <w:right w:w="70" w:type="dxa"/>
            </w:tcMar>
            <w:vAlign w:val="bottom"/>
            <w:hideMark/>
          </w:tcPr>
          <w:p w14:paraId="1D665398"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-0,18</w:t>
            </w:r>
          </w:p>
        </w:tc>
      </w:tr>
      <w:tr w:rsidR="00A00CAA" w:rsidRPr="00960CE9" w14:paraId="779C7524"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939B01"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Kastre</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AE544B"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2,08</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E4C6C4"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1,88</w:t>
            </w:r>
          </w:p>
        </w:tc>
        <w:tc>
          <w:tcPr>
            <w:tcW w:w="851" w:type="dxa"/>
            <w:tcBorders>
              <w:top w:val="nil"/>
              <w:left w:val="nil"/>
              <w:bottom w:val="single" w:sz="8" w:space="0" w:color="auto"/>
              <w:right w:val="single" w:sz="8" w:space="0" w:color="auto"/>
            </w:tcBorders>
            <w:shd w:val="clear" w:color="auto" w:fill="FCB87A"/>
            <w:noWrap/>
            <w:tcMar>
              <w:top w:w="0" w:type="dxa"/>
              <w:left w:w="70" w:type="dxa"/>
              <w:bottom w:w="0" w:type="dxa"/>
              <w:right w:w="70" w:type="dxa"/>
            </w:tcMar>
            <w:vAlign w:val="bottom"/>
            <w:hideMark/>
          </w:tcPr>
          <w:p w14:paraId="2DAA416B"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-0,20</w:t>
            </w:r>
          </w:p>
        </w:tc>
      </w:tr>
      <w:tr w:rsidR="00A00CAA" w:rsidRPr="00960CE9" w14:paraId="2DB54EE5"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846ED06"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Kiili</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FFDE4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1,75</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FE9D6F"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1,59</w:t>
            </w:r>
          </w:p>
        </w:tc>
        <w:tc>
          <w:tcPr>
            <w:tcW w:w="851" w:type="dxa"/>
            <w:tcBorders>
              <w:top w:val="nil"/>
              <w:left w:val="nil"/>
              <w:bottom w:val="single" w:sz="8" w:space="0" w:color="auto"/>
              <w:right w:val="single" w:sz="8" w:space="0" w:color="auto"/>
            </w:tcBorders>
            <w:shd w:val="clear" w:color="auto" w:fill="FDCE7E"/>
            <w:noWrap/>
            <w:tcMar>
              <w:top w:w="0" w:type="dxa"/>
              <w:left w:w="70" w:type="dxa"/>
              <w:bottom w:w="0" w:type="dxa"/>
              <w:right w:w="70" w:type="dxa"/>
            </w:tcMar>
            <w:vAlign w:val="bottom"/>
            <w:hideMark/>
          </w:tcPr>
          <w:p w14:paraId="67EA972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-0,16</w:t>
            </w:r>
          </w:p>
        </w:tc>
      </w:tr>
      <w:tr w:rsidR="00A00CAA" w:rsidRPr="00960CE9" w14:paraId="68324E6A"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A0629D"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Kohila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F3D61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1,41</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68D48C"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1,25</w:t>
            </w:r>
          </w:p>
        </w:tc>
        <w:tc>
          <w:tcPr>
            <w:tcW w:w="851" w:type="dxa"/>
            <w:tcBorders>
              <w:top w:val="nil"/>
              <w:left w:val="nil"/>
              <w:bottom w:val="single" w:sz="8" w:space="0" w:color="auto"/>
              <w:right w:val="single" w:sz="8" w:space="0" w:color="auto"/>
            </w:tcBorders>
            <w:shd w:val="clear" w:color="auto" w:fill="FDCE7E"/>
            <w:noWrap/>
            <w:tcMar>
              <w:top w:w="0" w:type="dxa"/>
              <w:left w:w="70" w:type="dxa"/>
              <w:bottom w:w="0" w:type="dxa"/>
              <w:right w:w="70" w:type="dxa"/>
            </w:tcMar>
            <w:vAlign w:val="bottom"/>
            <w:hideMark/>
          </w:tcPr>
          <w:p w14:paraId="57AECE6F"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-0,16</w:t>
            </w:r>
          </w:p>
        </w:tc>
      </w:tr>
      <w:tr w:rsidR="00A00CAA" w:rsidRPr="00960CE9" w14:paraId="15223676"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72D65"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Kose</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956351"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1,93</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0FFC5C"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1,70</w:t>
            </w:r>
          </w:p>
        </w:tc>
        <w:tc>
          <w:tcPr>
            <w:tcW w:w="851" w:type="dxa"/>
            <w:tcBorders>
              <w:top w:val="nil"/>
              <w:left w:val="nil"/>
              <w:bottom w:val="single" w:sz="8" w:space="0" w:color="auto"/>
              <w:right w:val="single" w:sz="8" w:space="0" w:color="auto"/>
            </w:tcBorders>
            <w:shd w:val="clear" w:color="auto" w:fill="FBA776"/>
            <w:noWrap/>
            <w:tcMar>
              <w:top w:w="0" w:type="dxa"/>
              <w:left w:w="70" w:type="dxa"/>
              <w:bottom w:w="0" w:type="dxa"/>
              <w:right w:w="70" w:type="dxa"/>
            </w:tcMar>
            <w:vAlign w:val="bottom"/>
            <w:hideMark/>
          </w:tcPr>
          <w:p w14:paraId="6F511868"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-0,23</w:t>
            </w:r>
          </w:p>
        </w:tc>
      </w:tr>
      <w:tr w:rsidR="00A00CAA" w:rsidRPr="00960CE9" w14:paraId="55DDFE0C"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C8FF6E7"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Kuusalu</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FFD1F0"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2,02</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25ABBF"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1,92</w:t>
            </w:r>
          </w:p>
        </w:tc>
        <w:tc>
          <w:tcPr>
            <w:tcW w:w="851" w:type="dxa"/>
            <w:tcBorders>
              <w:top w:val="nil"/>
              <w:left w:val="nil"/>
              <w:bottom w:val="single" w:sz="8" w:space="0" w:color="auto"/>
              <w:right w:val="single" w:sz="8" w:space="0" w:color="auto"/>
            </w:tcBorders>
            <w:shd w:val="clear" w:color="auto" w:fill="F8E984"/>
            <w:noWrap/>
            <w:tcMar>
              <w:top w:w="0" w:type="dxa"/>
              <w:left w:w="70" w:type="dxa"/>
              <w:bottom w:w="0" w:type="dxa"/>
              <w:right w:w="70" w:type="dxa"/>
            </w:tcMar>
            <w:vAlign w:val="bottom"/>
            <w:hideMark/>
          </w:tcPr>
          <w:p w14:paraId="6E3A83C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-0,10</w:t>
            </w:r>
          </w:p>
        </w:tc>
      </w:tr>
      <w:tr w:rsidR="00A00CAA" w:rsidRPr="00960CE9" w14:paraId="1EDFD2FC"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067F856"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Luunja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AEDD3F"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1,55</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6AAA3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1,45</w:t>
            </w:r>
          </w:p>
        </w:tc>
        <w:tc>
          <w:tcPr>
            <w:tcW w:w="851" w:type="dxa"/>
            <w:tcBorders>
              <w:top w:val="nil"/>
              <w:left w:val="nil"/>
              <w:bottom w:val="single" w:sz="8" w:space="0" w:color="auto"/>
              <w:right w:val="single" w:sz="8" w:space="0" w:color="auto"/>
            </w:tcBorders>
            <w:shd w:val="clear" w:color="auto" w:fill="F8E984"/>
            <w:noWrap/>
            <w:tcMar>
              <w:top w:w="0" w:type="dxa"/>
              <w:left w:w="70" w:type="dxa"/>
              <w:bottom w:w="0" w:type="dxa"/>
              <w:right w:w="70" w:type="dxa"/>
            </w:tcMar>
            <w:vAlign w:val="bottom"/>
            <w:hideMark/>
          </w:tcPr>
          <w:p w14:paraId="71107184"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-0,10</w:t>
            </w:r>
          </w:p>
        </w:tc>
      </w:tr>
      <w:tr w:rsidR="00A00CAA" w:rsidRPr="00960CE9" w14:paraId="35F9C57D"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BADD51B"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Lääne-Harju</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D53232"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1,79</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F36348"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1,69</w:t>
            </w:r>
          </w:p>
        </w:tc>
        <w:tc>
          <w:tcPr>
            <w:tcW w:w="851" w:type="dxa"/>
            <w:tcBorders>
              <w:top w:val="nil"/>
              <w:left w:val="nil"/>
              <w:bottom w:val="single" w:sz="8" w:space="0" w:color="auto"/>
              <w:right w:val="single" w:sz="8" w:space="0" w:color="auto"/>
            </w:tcBorders>
            <w:shd w:val="clear" w:color="auto" w:fill="F8E984"/>
            <w:noWrap/>
            <w:tcMar>
              <w:top w:w="0" w:type="dxa"/>
              <w:left w:w="70" w:type="dxa"/>
              <w:bottom w:w="0" w:type="dxa"/>
              <w:right w:w="70" w:type="dxa"/>
            </w:tcMar>
            <w:vAlign w:val="bottom"/>
            <w:hideMark/>
          </w:tcPr>
          <w:p w14:paraId="2334A710"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-0,10</w:t>
            </w:r>
          </w:p>
        </w:tc>
      </w:tr>
      <w:tr w:rsidR="00A00CAA" w:rsidRPr="00960CE9" w14:paraId="7C6D3416"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A1A1A7C"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Märjamaa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76EB39"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1,65</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2AE449"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1,52</w:t>
            </w:r>
          </w:p>
        </w:tc>
        <w:tc>
          <w:tcPr>
            <w:tcW w:w="851" w:type="dxa"/>
            <w:tcBorders>
              <w:top w:val="nil"/>
              <w:left w:val="nil"/>
              <w:bottom w:val="single" w:sz="8" w:space="0" w:color="auto"/>
              <w:right w:val="single" w:sz="8" w:space="0" w:color="auto"/>
            </w:tcBorders>
            <w:shd w:val="clear" w:color="auto" w:fill="FEDF81"/>
            <w:noWrap/>
            <w:tcMar>
              <w:top w:w="0" w:type="dxa"/>
              <w:left w:w="70" w:type="dxa"/>
              <w:bottom w:w="0" w:type="dxa"/>
              <w:right w:w="70" w:type="dxa"/>
            </w:tcMar>
            <w:vAlign w:val="bottom"/>
            <w:hideMark/>
          </w:tcPr>
          <w:p w14:paraId="3784CB04"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-0,13</w:t>
            </w:r>
          </w:p>
        </w:tc>
      </w:tr>
      <w:tr w:rsidR="00A00CAA" w:rsidRPr="00960CE9" w14:paraId="49913E57"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47435D1"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Narva-Jõesuu</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415648"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1,87</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9813AC"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1,78</w:t>
            </w:r>
          </w:p>
        </w:tc>
        <w:tc>
          <w:tcPr>
            <w:tcW w:w="851" w:type="dxa"/>
            <w:tcBorders>
              <w:top w:val="nil"/>
              <w:left w:val="nil"/>
              <w:bottom w:val="single" w:sz="8" w:space="0" w:color="auto"/>
              <w:right w:val="single" w:sz="8" w:space="0" w:color="auto"/>
            </w:tcBorders>
            <w:shd w:val="clear" w:color="auto" w:fill="F1E784"/>
            <w:noWrap/>
            <w:tcMar>
              <w:top w:w="0" w:type="dxa"/>
              <w:left w:w="70" w:type="dxa"/>
              <w:bottom w:w="0" w:type="dxa"/>
              <w:right w:w="70" w:type="dxa"/>
            </w:tcMar>
            <w:vAlign w:val="bottom"/>
            <w:hideMark/>
          </w:tcPr>
          <w:p w14:paraId="17378FB8"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-0,09</w:t>
            </w:r>
          </w:p>
        </w:tc>
      </w:tr>
      <w:tr w:rsidR="00A00CAA" w:rsidRPr="00960CE9" w14:paraId="5965C0A6"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41167CB"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Nõo</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C7CEEF"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1,80</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5A67CA"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1,67</w:t>
            </w:r>
          </w:p>
        </w:tc>
        <w:tc>
          <w:tcPr>
            <w:tcW w:w="851" w:type="dxa"/>
            <w:tcBorders>
              <w:top w:val="nil"/>
              <w:left w:val="nil"/>
              <w:bottom w:val="single" w:sz="8" w:space="0" w:color="auto"/>
              <w:right w:val="single" w:sz="8" w:space="0" w:color="auto"/>
            </w:tcBorders>
            <w:shd w:val="clear" w:color="auto" w:fill="FEDF81"/>
            <w:noWrap/>
            <w:tcMar>
              <w:top w:w="0" w:type="dxa"/>
              <w:left w:w="70" w:type="dxa"/>
              <w:bottom w:w="0" w:type="dxa"/>
              <w:right w:w="70" w:type="dxa"/>
            </w:tcMar>
            <w:vAlign w:val="bottom"/>
            <w:hideMark/>
          </w:tcPr>
          <w:p w14:paraId="5D4C765D"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-0,13</w:t>
            </w:r>
          </w:p>
        </w:tc>
      </w:tr>
      <w:tr w:rsidR="00A00CAA" w:rsidRPr="00960CE9" w14:paraId="4BBCEEF5"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9C8B9A"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Põhja-Pärnumaa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A470FB"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1,65</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8F2572"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1,52</w:t>
            </w:r>
          </w:p>
        </w:tc>
        <w:tc>
          <w:tcPr>
            <w:tcW w:w="851" w:type="dxa"/>
            <w:tcBorders>
              <w:top w:val="nil"/>
              <w:left w:val="nil"/>
              <w:bottom w:val="single" w:sz="8" w:space="0" w:color="auto"/>
              <w:right w:val="single" w:sz="8" w:space="0" w:color="auto"/>
            </w:tcBorders>
            <w:shd w:val="clear" w:color="auto" w:fill="FEDF81"/>
            <w:noWrap/>
            <w:tcMar>
              <w:top w:w="0" w:type="dxa"/>
              <w:left w:w="70" w:type="dxa"/>
              <w:bottom w:w="0" w:type="dxa"/>
              <w:right w:w="70" w:type="dxa"/>
            </w:tcMar>
            <w:vAlign w:val="bottom"/>
            <w:hideMark/>
          </w:tcPr>
          <w:p w14:paraId="6C9C8591"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-0,13</w:t>
            </w:r>
          </w:p>
        </w:tc>
      </w:tr>
      <w:tr w:rsidR="00A00CAA" w:rsidRPr="00960CE9" w14:paraId="607725C9"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A27FA68"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Raasiku</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BE339B"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1,54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CEBA9E"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1,32</w:t>
            </w:r>
          </w:p>
        </w:tc>
        <w:tc>
          <w:tcPr>
            <w:tcW w:w="851" w:type="dxa"/>
            <w:tcBorders>
              <w:top w:val="nil"/>
              <w:left w:val="nil"/>
              <w:bottom w:val="single" w:sz="8" w:space="0" w:color="auto"/>
              <w:right w:val="single" w:sz="8" w:space="0" w:color="auto"/>
            </w:tcBorders>
            <w:shd w:val="clear" w:color="auto" w:fill="FBAC78"/>
            <w:noWrap/>
            <w:tcMar>
              <w:top w:w="0" w:type="dxa"/>
              <w:left w:w="70" w:type="dxa"/>
              <w:bottom w:w="0" w:type="dxa"/>
              <w:right w:w="70" w:type="dxa"/>
            </w:tcMar>
            <w:vAlign w:val="bottom"/>
            <w:hideMark/>
          </w:tcPr>
          <w:p w14:paraId="0EDA1C2A"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-0,22</w:t>
            </w:r>
          </w:p>
        </w:tc>
      </w:tr>
      <w:tr w:rsidR="00A00CAA" w:rsidRPr="00960CE9" w14:paraId="4C7B553A"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5F18881"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Rae</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0E99B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1,36</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2B43E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1,11</w:t>
            </w:r>
          </w:p>
        </w:tc>
        <w:tc>
          <w:tcPr>
            <w:tcW w:w="851" w:type="dxa"/>
            <w:tcBorders>
              <w:top w:val="nil"/>
              <w:left w:val="nil"/>
              <w:bottom w:val="single" w:sz="8" w:space="0" w:color="auto"/>
              <w:right w:val="single" w:sz="8" w:space="0" w:color="auto"/>
            </w:tcBorders>
            <w:shd w:val="clear" w:color="auto" w:fill="FA9B74"/>
            <w:noWrap/>
            <w:tcMar>
              <w:top w:w="0" w:type="dxa"/>
              <w:left w:w="70" w:type="dxa"/>
              <w:bottom w:w="0" w:type="dxa"/>
              <w:right w:w="70" w:type="dxa"/>
            </w:tcMar>
            <w:vAlign w:val="bottom"/>
            <w:hideMark/>
          </w:tcPr>
          <w:p w14:paraId="73D84FD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-0,25</w:t>
            </w:r>
          </w:p>
        </w:tc>
      </w:tr>
      <w:tr w:rsidR="00A00CAA" w:rsidRPr="00960CE9" w14:paraId="3038E25E"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8175F3"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Räpina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96C9FD"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1,74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CFB92A"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1,84</w:t>
            </w:r>
          </w:p>
        </w:tc>
        <w:tc>
          <w:tcPr>
            <w:tcW w:w="851" w:type="dxa"/>
            <w:tcBorders>
              <w:top w:val="nil"/>
              <w:left w:val="nil"/>
              <w:bottom w:val="single" w:sz="8" w:space="0" w:color="auto"/>
              <w:right w:val="single" w:sz="8" w:space="0" w:color="auto"/>
            </w:tcBorders>
            <w:shd w:val="clear" w:color="auto" w:fill="63BE7B"/>
            <w:noWrap/>
            <w:tcMar>
              <w:top w:w="0" w:type="dxa"/>
              <w:left w:w="70" w:type="dxa"/>
              <w:bottom w:w="0" w:type="dxa"/>
              <w:right w:w="70" w:type="dxa"/>
            </w:tcMar>
            <w:vAlign w:val="bottom"/>
            <w:hideMark/>
          </w:tcPr>
          <w:p w14:paraId="05FF5A5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0,10</w:t>
            </w:r>
          </w:p>
        </w:tc>
      </w:tr>
      <w:tr w:rsidR="00A00CAA" w:rsidRPr="00960CE9" w14:paraId="673824F7"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50FD2E"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Saku</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0D76B2"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1,46</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8F7236"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1,13</w:t>
            </w:r>
          </w:p>
        </w:tc>
        <w:tc>
          <w:tcPr>
            <w:tcW w:w="851" w:type="dxa"/>
            <w:tcBorders>
              <w:top w:val="nil"/>
              <w:left w:val="nil"/>
              <w:bottom w:val="single" w:sz="8" w:space="0" w:color="auto"/>
              <w:right w:val="single" w:sz="8" w:space="0" w:color="auto"/>
            </w:tcBorders>
            <w:shd w:val="clear" w:color="auto" w:fill="F86E6C"/>
            <w:noWrap/>
            <w:tcMar>
              <w:top w:w="0" w:type="dxa"/>
              <w:left w:w="70" w:type="dxa"/>
              <w:bottom w:w="0" w:type="dxa"/>
              <w:right w:w="70" w:type="dxa"/>
            </w:tcMar>
            <w:vAlign w:val="bottom"/>
            <w:hideMark/>
          </w:tcPr>
          <w:p w14:paraId="601D8304"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-0,33</w:t>
            </w:r>
          </w:p>
        </w:tc>
      </w:tr>
      <w:tr w:rsidR="00A00CAA" w:rsidRPr="00960CE9" w14:paraId="3A420506"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FEF02E0"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lastRenderedPageBreak/>
              <w:t>Saue</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4E41D6"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1,41</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408F5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1,28</w:t>
            </w:r>
          </w:p>
        </w:tc>
        <w:tc>
          <w:tcPr>
            <w:tcW w:w="851" w:type="dxa"/>
            <w:tcBorders>
              <w:top w:val="nil"/>
              <w:left w:val="nil"/>
              <w:bottom w:val="single" w:sz="8" w:space="0" w:color="auto"/>
              <w:right w:val="single" w:sz="8" w:space="0" w:color="auto"/>
            </w:tcBorders>
            <w:shd w:val="clear" w:color="auto" w:fill="FEDF81"/>
            <w:noWrap/>
            <w:tcMar>
              <w:top w:w="0" w:type="dxa"/>
              <w:left w:w="70" w:type="dxa"/>
              <w:bottom w:w="0" w:type="dxa"/>
              <w:right w:w="70" w:type="dxa"/>
            </w:tcMar>
            <w:vAlign w:val="bottom"/>
            <w:hideMark/>
          </w:tcPr>
          <w:p w14:paraId="1FC7422A"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-0,13</w:t>
            </w:r>
          </w:p>
        </w:tc>
      </w:tr>
      <w:tr w:rsidR="00A00CAA" w:rsidRPr="00960CE9" w14:paraId="6C6427C8"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C780C3"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Tartu vald</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A37A8E"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1,91</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A15886"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1,69</w:t>
            </w:r>
          </w:p>
        </w:tc>
        <w:tc>
          <w:tcPr>
            <w:tcW w:w="851" w:type="dxa"/>
            <w:tcBorders>
              <w:top w:val="nil"/>
              <w:left w:val="nil"/>
              <w:bottom w:val="single" w:sz="8" w:space="0" w:color="auto"/>
              <w:right w:val="single" w:sz="8" w:space="0" w:color="auto"/>
            </w:tcBorders>
            <w:shd w:val="clear" w:color="auto" w:fill="FBAC78"/>
            <w:noWrap/>
            <w:tcMar>
              <w:top w:w="0" w:type="dxa"/>
              <w:left w:w="70" w:type="dxa"/>
              <w:bottom w:w="0" w:type="dxa"/>
              <w:right w:w="70" w:type="dxa"/>
            </w:tcMar>
            <w:vAlign w:val="bottom"/>
            <w:hideMark/>
          </w:tcPr>
          <w:p w14:paraId="0FCDFCB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-0,22</w:t>
            </w:r>
          </w:p>
        </w:tc>
      </w:tr>
      <w:tr w:rsidR="00A00CAA" w:rsidRPr="00960CE9" w14:paraId="60566C01"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570BCE"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Toila</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6CCA41"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1,88</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98197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1,66</w:t>
            </w:r>
          </w:p>
        </w:tc>
        <w:tc>
          <w:tcPr>
            <w:tcW w:w="851" w:type="dxa"/>
            <w:tcBorders>
              <w:top w:val="nil"/>
              <w:left w:val="nil"/>
              <w:bottom w:val="single" w:sz="8" w:space="0" w:color="auto"/>
              <w:right w:val="single" w:sz="8" w:space="0" w:color="auto"/>
            </w:tcBorders>
            <w:shd w:val="clear" w:color="auto" w:fill="FBAC78"/>
            <w:noWrap/>
            <w:tcMar>
              <w:top w:w="0" w:type="dxa"/>
              <w:left w:w="70" w:type="dxa"/>
              <w:bottom w:w="0" w:type="dxa"/>
              <w:right w:w="70" w:type="dxa"/>
            </w:tcMar>
            <w:vAlign w:val="bottom"/>
            <w:hideMark/>
          </w:tcPr>
          <w:p w14:paraId="411511BE"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-0,22</w:t>
            </w:r>
          </w:p>
        </w:tc>
      </w:tr>
      <w:tr w:rsidR="00A00CAA" w:rsidRPr="00960CE9" w14:paraId="26B15E66"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7A553A"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Tori</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247D5E"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1,57</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EA5D30"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1,41</w:t>
            </w:r>
          </w:p>
        </w:tc>
        <w:tc>
          <w:tcPr>
            <w:tcW w:w="851" w:type="dxa"/>
            <w:tcBorders>
              <w:top w:val="nil"/>
              <w:left w:val="nil"/>
              <w:bottom w:val="single" w:sz="8" w:space="0" w:color="auto"/>
              <w:right w:val="single" w:sz="8" w:space="0" w:color="auto"/>
            </w:tcBorders>
            <w:shd w:val="clear" w:color="auto" w:fill="FDCE7E"/>
            <w:noWrap/>
            <w:tcMar>
              <w:top w:w="0" w:type="dxa"/>
              <w:left w:w="70" w:type="dxa"/>
              <w:bottom w:w="0" w:type="dxa"/>
              <w:right w:w="70" w:type="dxa"/>
            </w:tcMar>
            <w:vAlign w:val="bottom"/>
            <w:hideMark/>
          </w:tcPr>
          <w:p w14:paraId="5A05AC57"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-0,16</w:t>
            </w:r>
          </w:p>
        </w:tc>
      </w:tr>
      <w:tr w:rsidR="00A00CAA" w:rsidRPr="00960CE9" w14:paraId="3BD3CAE5"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D7F2BE5"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Viimsi</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C3DCEA"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1,13</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FEC60F"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1,00</w:t>
            </w:r>
          </w:p>
        </w:tc>
        <w:tc>
          <w:tcPr>
            <w:tcW w:w="851" w:type="dxa"/>
            <w:tcBorders>
              <w:top w:val="nil"/>
              <w:left w:val="nil"/>
              <w:bottom w:val="single" w:sz="8" w:space="0" w:color="auto"/>
              <w:right w:val="single" w:sz="8" w:space="0" w:color="auto"/>
            </w:tcBorders>
            <w:shd w:val="clear" w:color="auto" w:fill="FEDF81"/>
            <w:noWrap/>
            <w:tcMar>
              <w:top w:w="0" w:type="dxa"/>
              <w:left w:w="70" w:type="dxa"/>
              <w:bottom w:w="0" w:type="dxa"/>
              <w:right w:w="70" w:type="dxa"/>
            </w:tcMar>
            <w:vAlign w:val="bottom"/>
            <w:hideMark/>
          </w:tcPr>
          <w:p w14:paraId="0F01317A"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-0,13</w:t>
            </w:r>
          </w:p>
        </w:tc>
      </w:tr>
      <w:tr w:rsidR="00A00CAA" w:rsidRPr="00960CE9" w14:paraId="79B9FB3E"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1B8829"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Vinni</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4365FD"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1,97</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AC4D43"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1,88</w:t>
            </w:r>
          </w:p>
        </w:tc>
        <w:tc>
          <w:tcPr>
            <w:tcW w:w="851" w:type="dxa"/>
            <w:tcBorders>
              <w:top w:val="nil"/>
              <w:left w:val="nil"/>
              <w:bottom w:val="single" w:sz="8" w:space="0" w:color="auto"/>
              <w:right w:val="single" w:sz="8" w:space="0" w:color="auto"/>
            </w:tcBorders>
            <w:shd w:val="clear" w:color="auto" w:fill="F1E784"/>
            <w:noWrap/>
            <w:tcMar>
              <w:top w:w="0" w:type="dxa"/>
              <w:left w:w="70" w:type="dxa"/>
              <w:bottom w:w="0" w:type="dxa"/>
              <w:right w:w="70" w:type="dxa"/>
            </w:tcMar>
            <w:vAlign w:val="bottom"/>
            <w:hideMark/>
          </w:tcPr>
          <w:p w14:paraId="071CDF95"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-0,09</w:t>
            </w:r>
          </w:p>
        </w:tc>
      </w:tr>
      <w:tr w:rsidR="00A00CAA" w:rsidRPr="00960CE9" w14:paraId="366AC0C6" w14:textId="77777777" w:rsidTr="00D2244E">
        <w:trPr>
          <w:trHeight w:val="300"/>
        </w:trPr>
        <w:tc>
          <w:tcPr>
            <w:tcW w:w="15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E8687D" w14:textId="77777777" w:rsidR="00A00CAA" w:rsidRPr="00960CE9" w:rsidRDefault="00A00CAA" w:rsidP="00D2244E">
            <w:pPr>
              <w:spacing w:after="0" w:line="240" w:lineRule="auto"/>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Võru vald</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FD840F"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2,00</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C02F01"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1,77</w:t>
            </w:r>
          </w:p>
        </w:tc>
        <w:tc>
          <w:tcPr>
            <w:tcW w:w="851" w:type="dxa"/>
            <w:tcBorders>
              <w:top w:val="nil"/>
              <w:left w:val="nil"/>
              <w:bottom w:val="single" w:sz="8" w:space="0" w:color="auto"/>
              <w:right w:val="single" w:sz="8" w:space="0" w:color="auto"/>
            </w:tcBorders>
            <w:shd w:val="clear" w:color="auto" w:fill="FBA776"/>
            <w:noWrap/>
            <w:tcMar>
              <w:top w:w="0" w:type="dxa"/>
              <w:left w:w="70" w:type="dxa"/>
              <w:bottom w:w="0" w:type="dxa"/>
              <w:right w:w="70" w:type="dxa"/>
            </w:tcMar>
            <w:vAlign w:val="bottom"/>
            <w:hideMark/>
          </w:tcPr>
          <w:p w14:paraId="23D8275C" w14:textId="77777777" w:rsidR="00A00CAA" w:rsidRPr="00960CE9" w:rsidRDefault="00A00CAA" w:rsidP="00D2244E">
            <w:pPr>
              <w:spacing w:after="0" w:line="240" w:lineRule="auto"/>
              <w:jc w:val="right"/>
              <w:rPr>
                <w:rFonts w:ascii="Calibri" w:eastAsia="Calibri" w:hAnsi="Calibri" w:cs="Calibri"/>
                <w:color w:val="000000"/>
                <w:kern w:val="0"/>
                <w:lang w:eastAsia="et-EE"/>
                <w14:ligatures w14:val="none"/>
              </w:rPr>
            </w:pPr>
            <w:r w:rsidRPr="00960CE9">
              <w:rPr>
                <w:rFonts w:ascii="Calibri" w:eastAsia="Calibri" w:hAnsi="Calibri" w:cs="Calibri"/>
                <w:color w:val="000000"/>
                <w:kern w:val="0"/>
                <w:lang w:eastAsia="et-EE"/>
                <w14:ligatures w14:val="none"/>
              </w:rPr>
              <w:t>-0,23</w:t>
            </w:r>
          </w:p>
        </w:tc>
      </w:tr>
    </w:tbl>
    <w:p w14:paraId="3872494B" w14:textId="77777777" w:rsidR="00A00CAA" w:rsidRPr="004137F4" w:rsidRDefault="00A00CAA" w:rsidP="00A00CAA">
      <w:pPr>
        <w:spacing w:after="0" w:line="240" w:lineRule="auto"/>
        <w:jc w:val="both"/>
        <w:rPr>
          <w:rFonts w:cstheme="minorHAnsi"/>
          <w:sz w:val="24"/>
          <w:szCs w:val="24"/>
        </w:rPr>
      </w:pPr>
    </w:p>
    <w:p w14:paraId="1372822A" w14:textId="77777777" w:rsidR="00A00CAA" w:rsidRDefault="00A00CAA" w:rsidP="00A00CAA">
      <w:pPr>
        <w:spacing w:after="0"/>
        <w:jc w:val="both"/>
        <w:rPr>
          <w:rFonts w:cstheme="minorHAnsi"/>
          <w:sz w:val="24"/>
          <w:szCs w:val="24"/>
        </w:rPr>
      </w:pPr>
    </w:p>
    <w:p w14:paraId="2AF8366A" w14:textId="77777777" w:rsidR="00A00CAA" w:rsidRDefault="00A00CAA" w:rsidP="00A00CAA">
      <w:pPr>
        <w:spacing w:after="0"/>
        <w:jc w:val="both"/>
        <w:rPr>
          <w:rFonts w:cstheme="minorHAnsi"/>
          <w:sz w:val="24"/>
          <w:szCs w:val="24"/>
        </w:rPr>
      </w:pPr>
    </w:p>
    <w:p w14:paraId="0F4C39FB" w14:textId="77777777" w:rsidR="00A00CAA" w:rsidRDefault="00A00CAA" w:rsidP="00A00CAA">
      <w:pPr>
        <w:spacing w:after="0"/>
        <w:jc w:val="both"/>
        <w:rPr>
          <w:rFonts w:cstheme="minorHAnsi"/>
          <w:sz w:val="24"/>
          <w:szCs w:val="24"/>
        </w:rPr>
      </w:pPr>
    </w:p>
    <w:p w14:paraId="7A5911DF" w14:textId="77777777" w:rsidR="00A00CAA" w:rsidRDefault="00A00CAA" w:rsidP="00A00CAA">
      <w:pPr>
        <w:spacing w:after="0"/>
        <w:jc w:val="both"/>
        <w:rPr>
          <w:rFonts w:cstheme="minorHAnsi"/>
          <w:sz w:val="24"/>
          <w:szCs w:val="24"/>
        </w:rPr>
      </w:pPr>
    </w:p>
    <w:p w14:paraId="460F80FC" w14:textId="77777777" w:rsidR="00A00CAA" w:rsidRDefault="00A00CAA" w:rsidP="00A00CAA">
      <w:pPr>
        <w:spacing w:after="0"/>
        <w:jc w:val="both"/>
        <w:rPr>
          <w:rFonts w:cstheme="minorHAnsi"/>
          <w:sz w:val="24"/>
          <w:szCs w:val="24"/>
        </w:rPr>
      </w:pPr>
    </w:p>
    <w:p w14:paraId="594CC2EA" w14:textId="77777777" w:rsidR="00A00CAA" w:rsidRDefault="00A00CAA" w:rsidP="00A00CAA">
      <w:pPr>
        <w:spacing w:after="0"/>
        <w:jc w:val="both"/>
        <w:rPr>
          <w:rFonts w:cstheme="minorHAnsi"/>
          <w:color w:val="0070C0"/>
          <w:sz w:val="24"/>
          <w:szCs w:val="24"/>
        </w:rPr>
      </w:pPr>
    </w:p>
    <w:p w14:paraId="7F957C07" w14:textId="77777777" w:rsidR="00AF32A5" w:rsidRDefault="00AF32A5" w:rsidP="00A00CAA">
      <w:pPr>
        <w:spacing w:after="0"/>
        <w:jc w:val="both"/>
        <w:rPr>
          <w:rFonts w:cstheme="minorHAnsi"/>
          <w:color w:val="0070C0"/>
          <w:sz w:val="24"/>
          <w:szCs w:val="24"/>
        </w:rPr>
      </w:pPr>
    </w:p>
    <w:p w14:paraId="70DE7242" w14:textId="5E9C1FBA" w:rsidR="00A00CAA" w:rsidRPr="004462F8" w:rsidRDefault="00A00CAA" w:rsidP="00A00CAA">
      <w:pPr>
        <w:spacing w:after="0"/>
        <w:jc w:val="both"/>
        <w:rPr>
          <w:rFonts w:cstheme="minorHAnsi"/>
          <w:color w:val="0070C0"/>
          <w:sz w:val="24"/>
          <w:szCs w:val="24"/>
        </w:rPr>
      </w:pPr>
      <w:r w:rsidRPr="004462F8">
        <w:rPr>
          <w:rFonts w:cstheme="minorHAnsi"/>
          <w:color w:val="0070C0"/>
          <w:sz w:val="24"/>
          <w:szCs w:val="24"/>
        </w:rPr>
        <w:t>Ettepanek: Rakendada tasandusfondi uuendatud tagamaalisuse koefitsiente alates 2025. a</w:t>
      </w:r>
      <w:r>
        <w:rPr>
          <w:rFonts w:cstheme="minorHAnsi"/>
          <w:color w:val="0070C0"/>
          <w:sz w:val="24"/>
          <w:szCs w:val="24"/>
        </w:rPr>
        <w:t xml:space="preserve"> järk-järgult</w:t>
      </w:r>
      <w:r w:rsidRPr="004462F8">
        <w:rPr>
          <w:rFonts w:cstheme="minorHAnsi"/>
          <w:color w:val="0070C0"/>
          <w:sz w:val="24"/>
          <w:szCs w:val="24"/>
        </w:rPr>
        <w:t xml:space="preserve">. </w:t>
      </w:r>
      <w:r>
        <w:rPr>
          <w:rFonts w:cstheme="minorHAnsi"/>
          <w:color w:val="0070C0"/>
          <w:sz w:val="24"/>
          <w:szCs w:val="24"/>
        </w:rPr>
        <w:t>Kavandada tasandusfondi valemi ülevaatus.</w:t>
      </w:r>
      <w:r w:rsidRPr="004462F8">
        <w:rPr>
          <w:rFonts w:cstheme="minorHAnsi"/>
          <w:color w:val="0070C0"/>
          <w:sz w:val="24"/>
          <w:szCs w:val="24"/>
        </w:rPr>
        <w:t xml:space="preserve"> </w:t>
      </w:r>
    </w:p>
    <w:p w14:paraId="20D2335B" w14:textId="77777777" w:rsidR="00A00CAA" w:rsidRPr="004462F8" w:rsidRDefault="00A00CAA" w:rsidP="00A00CAA">
      <w:pPr>
        <w:spacing w:after="0"/>
        <w:jc w:val="both"/>
        <w:rPr>
          <w:rFonts w:cstheme="minorHAnsi"/>
          <w:sz w:val="24"/>
          <w:szCs w:val="24"/>
        </w:rPr>
      </w:pPr>
    </w:p>
    <w:p w14:paraId="3B08FAC2" w14:textId="77777777" w:rsidR="00A00CAA" w:rsidRPr="004462F8" w:rsidRDefault="00A00CAA" w:rsidP="00757EEC">
      <w:pPr>
        <w:pStyle w:val="ListParagraph"/>
        <w:numPr>
          <w:ilvl w:val="0"/>
          <w:numId w:val="12"/>
        </w:numPr>
        <w:jc w:val="both"/>
        <w:rPr>
          <w:rFonts w:asciiTheme="minorHAnsi" w:hAnsiTheme="minorHAnsi" w:cstheme="minorHAnsi"/>
          <w:b/>
          <w:bCs/>
          <w:sz w:val="24"/>
          <w:szCs w:val="24"/>
        </w:rPr>
      </w:pPr>
      <w:r w:rsidRPr="004462F8">
        <w:rPr>
          <w:rFonts w:asciiTheme="minorHAnsi" w:hAnsiTheme="minorHAnsi" w:cstheme="minorHAnsi"/>
          <w:b/>
          <w:bCs/>
          <w:sz w:val="24"/>
          <w:szCs w:val="24"/>
        </w:rPr>
        <w:t>KOV finantsdistsipliini tagamise lisanduvad meetmed. Tõhustada ministeeriumi rolli KOVide eelarvestrateegiate menetlemisel</w:t>
      </w:r>
    </w:p>
    <w:p w14:paraId="6288B001" w14:textId="77777777" w:rsidR="00A00CAA" w:rsidRPr="004462F8" w:rsidRDefault="00A00CAA" w:rsidP="00A00CAA">
      <w:pPr>
        <w:spacing w:after="0" w:line="240" w:lineRule="auto"/>
        <w:jc w:val="both"/>
        <w:rPr>
          <w:rFonts w:cstheme="minorHAnsi"/>
          <w:sz w:val="24"/>
          <w:szCs w:val="24"/>
        </w:rPr>
      </w:pPr>
    </w:p>
    <w:p w14:paraId="30D4F3CD" w14:textId="77777777" w:rsidR="00A00CAA" w:rsidRPr="004462F8" w:rsidRDefault="00A00CAA" w:rsidP="00A00CAA">
      <w:pPr>
        <w:spacing w:after="0" w:line="240" w:lineRule="auto"/>
        <w:jc w:val="both"/>
        <w:rPr>
          <w:rFonts w:cstheme="minorHAnsi"/>
          <w:sz w:val="24"/>
          <w:szCs w:val="24"/>
        </w:rPr>
      </w:pPr>
      <w:r w:rsidRPr="004462F8">
        <w:rPr>
          <w:rFonts w:cstheme="minorHAnsi"/>
          <w:sz w:val="24"/>
          <w:szCs w:val="24"/>
        </w:rPr>
        <w:t xml:space="preserve">Euroopa KOVide harta ei luba teha järelevalvet KOVide tegevuse otstarbekuse üle. Eelarvestrateegia on KOVi enda jaoks vajalik, et aru saada finantsseisust ja rahalistest võimalustest. Kui KOV hakkab seda tegema riigi jaoks, muutub dokument sisutuks.  </w:t>
      </w:r>
    </w:p>
    <w:p w14:paraId="7499C65A" w14:textId="77777777" w:rsidR="00A00CAA" w:rsidRPr="004462F8" w:rsidRDefault="00A00CAA" w:rsidP="00A00CAA">
      <w:pPr>
        <w:spacing w:after="0" w:line="240" w:lineRule="auto"/>
        <w:jc w:val="both"/>
        <w:rPr>
          <w:rFonts w:cstheme="minorHAnsi"/>
          <w:sz w:val="24"/>
          <w:szCs w:val="24"/>
        </w:rPr>
      </w:pPr>
    </w:p>
    <w:p w14:paraId="4A5B6474" w14:textId="77777777" w:rsidR="00A00CAA" w:rsidRPr="004462F8" w:rsidRDefault="00A00CAA" w:rsidP="00A00CAA">
      <w:pPr>
        <w:spacing w:after="0" w:line="240" w:lineRule="auto"/>
        <w:jc w:val="both"/>
        <w:rPr>
          <w:rFonts w:cstheme="minorHAnsi"/>
          <w:sz w:val="24"/>
          <w:szCs w:val="24"/>
        </w:rPr>
      </w:pPr>
      <w:r w:rsidRPr="004462F8">
        <w:rPr>
          <w:rFonts w:cstheme="minorHAnsi"/>
          <w:sz w:val="24"/>
          <w:szCs w:val="24"/>
        </w:rPr>
        <w:t xml:space="preserve">Ministeerium jälgib pidevalt KOVide finantssuutlikkust ja finantsdistsipliini. Vaatame iga aastaselt üle KOVide eelarvestrateegiad (va Tallinn ja Tartu). Jälgime, kas maksulaekumiste ja kulude prognoosid  on adekvaatsed, kas uute asutuste avamisel on kulude kasv kavandatud, kas KOVidel on suutlikkus põhitegevuse tulemi arvelt tasuda laenutagasimakseid ja intresse, kas KOV peab tulevikus laenude võtmisel kinni netovõlakoormuse piirmäärast. Ministeeriumi tähelepanekud on soovitused ja KOV peab ise oma otsuste eest vastutama.  </w:t>
      </w:r>
    </w:p>
    <w:p w14:paraId="2F29966D" w14:textId="77777777" w:rsidR="00A00CAA" w:rsidRPr="004462F8" w:rsidRDefault="00A00CAA" w:rsidP="00A00CAA">
      <w:pPr>
        <w:spacing w:after="0" w:line="240" w:lineRule="auto"/>
        <w:jc w:val="both"/>
        <w:rPr>
          <w:rFonts w:cstheme="minorHAnsi"/>
          <w:sz w:val="24"/>
          <w:szCs w:val="24"/>
        </w:rPr>
      </w:pPr>
    </w:p>
    <w:p w14:paraId="697C96BB" w14:textId="77777777" w:rsidR="00A00CAA" w:rsidRDefault="00A00CAA" w:rsidP="00A00CAA">
      <w:pPr>
        <w:spacing w:after="0" w:line="240" w:lineRule="auto"/>
        <w:jc w:val="both"/>
        <w:rPr>
          <w:rFonts w:cstheme="minorHAnsi"/>
          <w:sz w:val="24"/>
          <w:szCs w:val="24"/>
        </w:rPr>
      </w:pPr>
      <w:r>
        <w:rPr>
          <w:rFonts w:cstheme="minorHAnsi"/>
          <w:sz w:val="24"/>
          <w:szCs w:val="24"/>
        </w:rPr>
        <w:t xml:space="preserve">Kui KOVide põhitegevuse tulem on kaks aastat järjest miinuses või KOV ületab kaks aastat järjest netovõlakoormuse piirmäära, käivitub nn korrigeerimismenetlus. </w:t>
      </w:r>
      <w:r w:rsidRPr="00615F15">
        <w:rPr>
          <w:rFonts w:cstheme="minorHAnsi"/>
          <w:sz w:val="24"/>
          <w:szCs w:val="24"/>
        </w:rPr>
        <w:t>Korrigeerimis</w:t>
      </w:r>
      <w:r>
        <w:rPr>
          <w:rFonts w:cstheme="minorHAnsi"/>
          <w:sz w:val="24"/>
          <w:szCs w:val="24"/>
        </w:rPr>
        <w:t>-</w:t>
      </w:r>
      <w:r w:rsidRPr="00615F15">
        <w:rPr>
          <w:rFonts w:cstheme="minorHAnsi"/>
          <w:sz w:val="24"/>
          <w:szCs w:val="24"/>
        </w:rPr>
        <w:t xml:space="preserve">menetluse alustamisel peab </w:t>
      </w:r>
      <w:r>
        <w:rPr>
          <w:rFonts w:cstheme="minorHAnsi"/>
          <w:sz w:val="24"/>
          <w:szCs w:val="24"/>
        </w:rPr>
        <w:t>KOV</w:t>
      </w:r>
      <w:r w:rsidRPr="00615F15">
        <w:rPr>
          <w:rFonts w:cstheme="minorHAnsi"/>
          <w:sz w:val="24"/>
          <w:szCs w:val="24"/>
        </w:rPr>
        <w:t xml:space="preserve"> tagama eelarvestrateegias ettenähtud finantsdistsipliini tagamise meetmete rakendamise hiljemalt neljanda aasta lõpuks.</w:t>
      </w:r>
      <w:r>
        <w:rPr>
          <w:rFonts w:cstheme="minorHAnsi"/>
          <w:sz w:val="24"/>
          <w:szCs w:val="24"/>
        </w:rPr>
        <w:t xml:space="preserve"> Põhimõtteliselt peab KOV hoiduma uute laenude võtmisest. </w:t>
      </w:r>
    </w:p>
    <w:p w14:paraId="6BAF7A8B" w14:textId="77777777" w:rsidR="00A00CAA" w:rsidRDefault="00A00CAA" w:rsidP="00A00CAA">
      <w:pPr>
        <w:spacing w:after="0" w:line="240" w:lineRule="auto"/>
        <w:jc w:val="both"/>
        <w:rPr>
          <w:rFonts w:cstheme="minorHAnsi"/>
          <w:sz w:val="24"/>
          <w:szCs w:val="24"/>
        </w:rPr>
      </w:pPr>
    </w:p>
    <w:p w14:paraId="45FD14F1" w14:textId="256EFE79" w:rsidR="00A00CAA" w:rsidRPr="004462F8" w:rsidRDefault="00A00CAA" w:rsidP="00A00CAA">
      <w:pPr>
        <w:spacing w:after="0" w:line="240" w:lineRule="auto"/>
        <w:jc w:val="both"/>
        <w:rPr>
          <w:rFonts w:cstheme="minorHAnsi"/>
          <w:sz w:val="24"/>
          <w:szCs w:val="24"/>
        </w:rPr>
      </w:pPr>
      <w:r>
        <w:rPr>
          <w:rFonts w:cstheme="minorHAnsi"/>
          <w:sz w:val="24"/>
          <w:szCs w:val="24"/>
        </w:rPr>
        <w:t>Kasutusel</w:t>
      </w:r>
      <w:r w:rsidRPr="004462F8">
        <w:rPr>
          <w:rFonts w:cstheme="minorHAnsi"/>
          <w:sz w:val="24"/>
          <w:szCs w:val="24"/>
        </w:rPr>
        <w:t xml:space="preserve"> on KOV finantsolukorra indeks, kus on toodud peamised finants- ja efektiivsusnäitajad. Kehvemate näitajatega KOVidega korralda</w:t>
      </w:r>
      <w:r>
        <w:rPr>
          <w:rFonts w:cstheme="minorHAnsi"/>
          <w:sz w:val="24"/>
          <w:szCs w:val="24"/>
        </w:rPr>
        <w:t>b REM</w:t>
      </w:r>
      <w:r w:rsidRPr="004462F8">
        <w:rPr>
          <w:rFonts w:cstheme="minorHAnsi"/>
          <w:sz w:val="24"/>
          <w:szCs w:val="24"/>
        </w:rPr>
        <w:t xml:space="preserve"> kohtumisi ja käi</w:t>
      </w:r>
      <w:r>
        <w:rPr>
          <w:rFonts w:cstheme="minorHAnsi"/>
          <w:sz w:val="24"/>
          <w:szCs w:val="24"/>
        </w:rPr>
        <w:t>b</w:t>
      </w:r>
      <w:r w:rsidRPr="004462F8">
        <w:rPr>
          <w:rFonts w:cstheme="minorHAnsi"/>
          <w:sz w:val="24"/>
          <w:szCs w:val="24"/>
        </w:rPr>
        <w:t xml:space="preserve"> üle nende probleemsed näitajad ja riskid. </w:t>
      </w:r>
      <w:r>
        <w:rPr>
          <w:rFonts w:cstheme="minorHAnsi"/>
          <w:sz w:val="24"/>
          <w:szCs w:val="24"/>
        </w:rPr>
        <w:t xml:space="preserve">Samuti annab ministeerium </w:t>
      </w:r>
      <w:r w:rsidRPr="004462F8">
        <w:rPr>
          <w:rFonts w:cstheme="minorHAnsi"/>
          <w:sz w:val="24"/>
          <w:szCs w:val="24"/>
        </w:rPr>
        <w:t>soovitus</w:t>
      </w:r>
      <w:r>
        <w:rPr>
          <w:rFonts w:cstheme="minorHAnsi"/>
          <w:sz w:val="24"/>
          <w:szCs w:val="24"/>
        </w:rPr>
        <w:t>i</w:t>
      </w:r>
      <w:r w:rsidRPr="004462F8">
        <w:rPr>
          <w:rFonts w:cstheme="minorHAnsi"/>
          <w:sz w:val="24"/>
          <w:szCs w:val="24"/>
        </w:rPr>
        <w:t xml:space="preserve"> olukorra parandamiseks. </w:t>
      </w:r>
      <w:r>
        <w:rPr>
          <w:rFonts w:cstheme="minorHAnsi"/>
          <w:sz w:val="24"/>
          <w:szCs w:val="24"/>
        </w:rPr>
        <w:t xml:space="preserve">Need REM tegevused võib KOFS-is formaliseerida. </w:t>
      </w:r>
    </w:p>
    <w:p w14:paraId="19193181" w14:textId="77777777" w:rsidR="00A00CAA" w:rsidRDefault="00A00CAA" w:rsidP="00A00CAA">
      <w:pPr>
        <w:spacing w:after="0"/>
        <w:jc w:val="both"/>
        <w:rPr>
          <w:rFonts w:cstheme="minorHAnsi"/>
          <w:sz w:val="24"/>
          <w:szCs w:val="24"/>
        </w:rPr>
      </w:pPr>
    </w:p>
    <w:p w14:paraId="7A2429DC" w14:textId="4C984998" w:rsidR="00A00CAA" w:rsidRDefault="00A00CAA" w:rsidP="00A00CAA">
      <w:pPr>
        <w:spacing w:after="0"/>
        <w:jc w:val="both"/>
        <w:rPr>
          <w:rFonts w:cstheme="minorHAnsi"/>
          <w:sz w:val="24"/>
          <w:szCs w:val="24"/>
        </w:rPr>
      </w:pPr>
      <w:r>
        <w:rPr>
          <w:rFonts w:cstheme="minorHAnsi"/>
          <w:sz w:val="24"/>
          <w:szCs w:val="24"/>
        </w:rPr>
        <w:t xml:space="preserve">KOVide finantsriskide vähendamiseks on võimalik teha juurde reegel, et KOVide viimase 4 a põhitegevuse tulem kokku peab katma viimase 4 a intressikulud. See eeldab KOFS-i muudatust. Kui KOV 2 a nõuet ei täida, rakendub 4 a pikkune korrigeerimise menetlus, mille jooksul on KOV kohustatud rakendama meetmeid finantsolukorra parandamiseks. </w:t>
      </w:r>
    </w:p>
    <w:p w14:paraId="7CD94AD2" w14:textId="77777777" w:rsidR="00A00CAA" w:rsidRDefault="00A00CAA" w:rsidP="00A00CAA">
      <w:pPr>
        <w:spacing w:after="0"/>
        <w:jc w:val="both"/>
        <w:rPr>
          <w:rFonts w:cstheme="minorHAnsi"/>
          <w:sz w:val="24"/>
          <w:szCs w:val="24"/>
        </w:rPr>
      </w:pPr>
    </w:p>
    <w:p w14:paraId="3AE19647" w14:textId="2E2531B0" w:rsidR="00A00CAA" w:rsidRPr="004462F8" w:rsidRDefault="00A00CAA" w:rsidP="00A00CAA">
      <w:pPr>
        <w:spacing w:after="0"/>
        <w:jc w:val="both"/>
        <w:rPr>
          <w:rFonts w:cstheme="minorHAnsi"/>
          <w:sz w:val="24"/>
          <w:szCs w:val="24"/>
        </w:rPr>
      </w:pPr>
      <w:r>
        <w:rPr>
          <w:rFonts w:cstheme="minorHAnsi"/>
          <w:sz w:val="24"/>
          <w:szCs w:val="24"/>
        </w:rPr>
        <w:t>Kui KOV finantsjuhtimise seadust muuta, tuleb vältida täiendava bürokraatia juurde tekitamist.</w:t>
      </w:r>
    </w:p>
    <w:p w14:paraId="28F5DE18" w14:textId="77777777" w:rsidR="00A00CAA" w:rsidRDefault="00A00CAA" w:rsidP="00A00CAA">
      <w:pPr>
        <w:spacing w:after="0"/>
        <w:jc w:val="both"/>
        <w:rPr>
          <w:rFonts w:cstheme="minorHAnsi"/>
          <w:color w:val="0070C0"/>
          <w:sz w:val="24"/>
          <w:szCs w:val="24"/>
        </w:rPr>
      </w:pPr>
    </w:p>
    <w:p w14:paraId="1230AD40" w14:textId="77777777" w:rsidR="00994B45" w:rsidRDefault="00994B45" w:rsidP="00A00CAA">
      <w:pPr>
        <w:spacing w:after="0"/>
        <w:jc w:val="both"/>
        <w:rPr>
          <w:rFonts w:cstheme="minorHAnsi"/>
          <w:color w:val="0070C0"/>
          <w:sz w:val="24"/>
          <w:szCs w:val="24"/>
        </w:rPr>
      </w:pPr>
    </w:p>
    <w:p w14:paraId="0C1D2906" w14:textId="77777777" w:rsidR="00994B45" w:rsidRDefault="00994B45" w:rsidP="00A00CAA">
      <w:pPr>
        <w:spacing w:after="0"/>
        <w:jc w:val="both"/>
        <w:rPr>
          <w:rFonts w:cstheme="minorHAnsi"/>
          <w:color w:val="0070C0"/>
          <w:sz w:val="24"/>
          <w:szCs w:val="24"/>
        </w:rPr>
      </w:pPr>
    </w:p>
    <w:p w14:paraId="12DA5D05" w14:textId="77777777" w:rsidR="00994B45" w:rsidRDefault="00994B45" w:rsidP="00A00CAA">
      <w:pPr>
        <w:spacing w:after="0"/>
        <w:jc w:val="both"/>
        <w:rPr>
          <w:rFonts w:cstheme="minorHAnsi"/>
          <w:color w:val="0070C0"/>
          <w:sz w:val="24"/>
          <w:szCs w:val="24"/>
        </w:rPr>
      </w:pPr>
    </w:p>
    <w:p w14:paraId="5667B51A" w14:textId="2AC54225" w:rsidR="00A00CAA" w:rsidRDefault="00A00CAA" w:rsidP="00A00CAA">
      <w:pPr>
        <w:spacing w:after="0"/>
        <w:jc w:val="both"/>
        <w:rPr>
          <w:rFonts w:cstheme="minorHAnsi"/>
          <w:color w:val="0070C0"/>
          <w:sz w:val="24"/>
          <w:szCs w:val="24"/>
        </w:rPr>
      </w:pPr>
      <w:r w:rsidRPr="004462F8">
        <w:rPr>
          <w:rFonts w:cstheme="minorHAnsi"/>
          <w:color w:val="0070C0"/>
          <w:sz w:val="24"/>
          <w:szCs w:val="24"/>
        </w:rPr>
        <w:lastRenderedPageBreak/>
        <w:t>Ettepanek</w:t>
      </w:r>
      <w:r>
        <w:rPr>
          <w:rFonts w:cstheme="minorHAnsi"/>
          <w:color w:val="0070C0"/>
          <w:sz w:val="24"/>
          <w:szCs w:val="24"/>
        </w:rPr>
        <w:t>ud</w:t>
      </w:r>
      <w:r w:rsidRPr="004462F8">
        <w:rPr>
          <w:rFonts w:cstheme="minorHAnsi"/>
          <w:color w:val="0070C0"/>
          <w:sz w:val="24"/>
          <w:szCs w:val="24"/>
        </w:rPr>
        <w:t xml:space="preserve">: </w:t>
      </w:r>
    </w:p>
    <w:p w14:paraId="768CCE11" w14:textId="4CB4E9B1" w:rsidR="00A00CAA" w:rsidRDefault="00A00CAA" w:rsidP="00A00CAA">
      <w:pPr>
        <w:pStyle w:val="ListParagraph"/>
        <w:numPr>
          <w:ilvl w:val="0"/>
          <w:numId w:val="11"/>
        </w:numPr>
        <w:ind w:left="284" w:hanging="284"/>
        <w:jc w:val="both"/>
        <w:rPr>
          <w:rFonts w:cstheme="minorHAnsi"/>
          <w:color w:val="0070C0"/>
          <w:sz w:val="24"/>
          <w:szCs w:val="24"/>
        </w:rPr>
      </w:pPr>
      <w:r>
        <w:rPr>
          <w:rFonts w:cstheme="minorHAnsi"/>
          <w:color w:val="0070C0"/>
          <w:sz w:val="24"/>
          <w:szCs w:val="24"/>
        </w:rPr>
        <w:t>t</w:t>
      </w:r>
      <w:r w:rsidRPr="00A00CAA">
        <w:rPr>
          <w:rFonts w:cstheme="minorHAnsi"/>
          <w:color w:val="0070C0"/>
          <w:sz w:val="24"/>
          <w:szCs w:val="24"/>
        </w:rPr>
        <w:t xml:space="preserve">äiendada </w:t>
      </w:r>
      <w:r>
        <w:rPr>
          <w:rFonts w:cstheme="minorHAnsi"/>
          <w:color w:val="0070C0"/>
          <w:sz w:val="24"/>
          <w:szCs w:val="24"/>
        </w:rPr>
        <w:t xml:space="preserve">KOFS-i </w:t>
      </w:r>
      <w:r w:rsidRPr="00A00CAA">
        <w:rPr>
          <w:rFonts w:cstheme="minorHAnsi"/>
          <w:color w:val="0070C0"/>
          <w:sz w:val="24"/>
          <w:szCs w:val="24"/>
        </w:rPr>
        <w:t xml:space="preserve">reegliga, et Regionaal- ja Põllumajandusministeerium võib KOVide eelarvestrateegiate läbivaatamisel anda KOVile ennetavaid soovitusi finantsdistsipliini järgimiseks ning raske finantsolukorra ohu ärahoidmiseks. </w:t>
      </w:r>
    </w:p>
    <w:p w14:paraId="0B17686F" w14:textId="695A0FD7" w:rsidR="00A00CAA" w:rsidRDefault="00A00CAA" w:rsidP="00A00CAA">
      <w:pPr>
        <w:pStyle w:val="ListParagraph"/>
        <w:numPr>
          <w:ilvl w:val="0"/>
          <w:numId w:val="11"/>
        </w:numPr>
        <w:ind w:left="284" w:hanging="284"/>
        <w:jc w:val="both"/>
        <w:rPr>
          <w:rFonts w:cstheme="minorHAnsi"/>
          <w:color w:val="0070C0"/>
          <w:sz w:val="24"/>
          <w:szCs w:val="24"/>
        </w:rPr>
      </w:pPr>
      <w:r>
        <w:rPr>
          <w:rFonts w:cstheme="minorHAnsi"/>
          <w:color w:val="0070C0"/>
          <w:sz w:val="24"/>
          <w:szCs w:val="24"/>
        </w:rPr>
        <w:t>t</w:t>
      </w:r>
      <w:r w:rsidRPr="00A00CAA">
        <w:rPr>
          <w:rFonts w:cstheme="minorHAnsi"/>
          <w:color w:val="0070C0"/>
          <w:sz w:val="24"/>
          <w:szCs w:val="24"/>
        </w:rPr>
        <w:t xml:space="preserve">äiendada </w:t>
      </w:r>
      <w:r>
        <w:rPr>
          <w:rFonts w:cstheme="minorHAnsi"/>
          <w:color w:val="0070C0"/>
          <w:sz w:val="24"/>
          <w:szCs w:val="24"/>
        </w:rPr>
        <w:t xml:space="preserve">KOFS-i </w:t>
      </w:r>
      <w:r w:rsidRPr="00A00CAA">
        <w:rPr>
          <w:rFonts w:cstheme="minorHAnsi"/>
          <w:color w:val="0070C0"/>
          <w:sz w:val="24"/>
          <w:szCs w:val="24"/>
        </w:rPr>
        <w:t>reegliga, et</w:t>
      </w:r>
      <w:r>
        <w:rPr>
          <w:rFonts w:cstheme="minorHAnsi"/>
          <w:color w:val="0070C0"/>
          <w:sz w:val="24"/>
          <w:szCs w:val="24"/>
        </w:rPr>
        <w:t xml:space="preserve"> KOVi viimase 4 aasta põhitegevuse tulemid kokku peavad olema suuremad kui viimase 4 a intressikulu/finantskulu kokku.</w:t>
      </w:r>
    </w:p>
    <w:p w14:paraId="6475977A" w14:textId="56370EC3" w:rsidR="00757EEC" w:rsidRPr="00A00CAA" w:rsidRDefault="00757EEC" w:rsidP="00A00CAA">
      <w:pPr>
        <w:pStyle w:val="ListParagraph"/>
        <w:numPr>
          <w:ilvl w:val="0"/>
          <w:numId w:val="11"/>
        </w:numPr>
        <w:ind w:left="284" w:hanging="284"/>
        <w:jc w:val="both"/>
        <w:rPr>
          <w:rFonts w:cstheme="minorHAnsi"/>
          <w:color w:val="0070C0"/>
          <w:sz w:val="24"/>
          <w:szCs w:val="24"/>
        </w:rPr>
      </w:pPr>
      <w:r>
        <w:rPr>
          <w:rFonts w:cstheme="minorHAnsi"/>
          <w:color w:val="0070C0"/>
          <w:sz w:val="24"/>
          <w:szCs w:val="24"/>
        </w:rPr>
        <w:t>Algatada KOFS muudatus 202</w:t>
      </w:r>
      <w:r w:rsidR="00994B45">
        <w:rPr>
          <w:rFonts w:cstheme="minorHAnsi"/>
          <w:color w:val="0070C0"/>
          <w:sz w:val="24"/>
          <w:szCs w:val="24"/>
        </w:rPr>
        <w:t>4</w:t>
      </w:r>
      <w:r>
        <w:rPr>
          <w:rFonts w:cstheme="minorHAnsi"/>
          <w:color w:val="0070C0"/>
          <w:sz w:val="24"/>
          <w:szCs w:val="24"/>
        </w:rPr>
        <w:t>. a.</w:t>
      </w:r>
    </w:p>
    <w:p w14:paraId="51172727" w14:textId="77777777" w:rsidR="00920FA8" w:rsidRDefault="00920FA8" w:rsidP="001B6A2C">
      <w:pPr>
        <w:spacing w:after="0" w:line="240" w:lineRule="auto"/>
        <w:jc w:val="both"/>
        <w:rPr>
          <w:sz w:val="24"/>
          <w:szCs w:val="24"/>
        </w:rPr>
      </w:pPr>
    </w:p>
    <w:p w14:paraId="3A3523F2" w14:textId="77777777" w:rsidR="00A00CAA" w:rsidRPr="00B65D23" w:rsidRDefault="00A00CAA" w:rsidP="00757EEC">
      <w:pPr>
        <w:pStyle w:val="ListParagraph"/>
        <w:numPr>
          <w:ilvl w:val="0"/>
          <w:numId w:val="12"/>
        </w:numPr>
        <w:contextualSpacing/>
        <w:jc w:val="both"/>
        <w:rPr>
          <w:rFonts w:eastAsia="Times New Roman"/>
          <w:b/>
          <w:bCs/>
        </w:rPr>
      </w:pPr>
      <w:r w:rsidRPr="00B65D23">
        <w:rPr>
          <w:rFonts w:eastAsia="Times New Roman"/>
          <w:b/>
          <w:bCs/>
        </w:rPr>
        <w:t>CO2 ja MF KOV hoonete energiatõhususe toetusmeetmete vahendite kasutamine kasvupiirkondade investeeringuvajaduse katmiseks</w:t>
      </w:r>
    </w:p>
    <w:p w14:paraId="23B0BE5A" w14:textId="77777777" w:rsidR="00A00CAA" w:rsidRDefault="00A00CAA" w:rsidP="00A00CAA">
      <w:pPr>
        <w:pStyle w:val="ListParagraph"/>
      </w:pPr>
    </w:p>
    <w:p w14:paraId="4E834874" w14:textId="77777777" w:rsidR="00A00CAA" w:rsidRDefault="00A00CAA" w:rsidP="00A00CAA">
      <w:pPr>
        <w:jc w:val="both"/>
      </w:pPr>
      <w:r>
        <w:t>Aastatel 2024-2025 on kavas KOVidele suunatuna läbi viia taotlusvoorud indikatiivselt 100-120 mln € mahus KOV hoonete energiatõhusaks rekonstrueerimiseks ning uute liginullenergia hoonete rajamiseks (lammutades samas mahus madalama energiatõhususega hooneid).</w:t>
      </w:r>
    </w:p>
    <w:p w14:paraId="56A7890B" w14:textId="64ED2599" w:rsidR="002C288C" w:rsidRPr="002C288C" w:rsidRDefault="002C288C" w:rsidP="002C288C">
      <w:pPr>
        <w:jc w:val="both"/>
      </w:pPr>
      <w:bookmarkStart w:id="2" w:name="_Hlk163475330"/>
      <w:r w:rsidRPr="002C288C">
        <w:t>KOV tulubaasi ümberkorralduse mõjude leevendamiseks on Regionaal- ja Põllumajandusministeerium täiendavalt kavandamas muudatusi KOV hoonete energiatõhususe parandamise meetmete tingimustes 2024-2025. a voorudeks (kokku ca 118 mln €), et pakkuda paremaid toetustingimusi kasvavatele ja suurematele KOVidele. Kõrgem toetusmäär ja suurem maksimaalne toetussumma võimaldavad oluliselt väiksema omafinantseeringuga renoveerida neile piirkondadele iseloomulikke suuremamahulisi hooneid.</w:t>
      </w:r>
      <w:r>
        <w:t xml:space="preserve"> Tuleb silmas pidada, et need muudatused on ajutise iseloomuga tulubaasi ümberkorralduse perioodiks.</w:t>
      </w:r>
    </w:p>
    <w:bookmarkEnd w:id="2"/>
    <w:p w14:paraId="60403774" w14:textId="77777777" w:rsidR="002C288C" w:rsidRDefault="002C288C" w:rsidP="002C288C">
      <w:pPr>
        <w:spacing w:after="0"/>
        <w:jc w:val="both"/>
        <w:rPr>
          <w:rFonts w:cstheme="minorHAnsi"/>
          <w:color w:val="0070C0"/>
          <w:sz w:val="24"/>
          <w:szCs w:val="24"/>
        </w:rPr>
      </w:pPr>
      <w:r w:rsidRPr="004462F8">
        <w:rPr>
          <w:rFonts w:cstheme="minorHAnsi"/>
          <w:color w:val="0070C0"/>
          <w:sz w:val="24"/>
          <w:szCs w:val="24"/>
        </w:rPr>
        <w:t>Ettepanek</w:t>
      </w:r>
      <w:r>
        <w:rPr>
          <w:rFonts w:cstheme="minorHAnsi"/>
          <w:color w:val="0070C0"/>
          <w:sz w:val="24"/>
          <w:szCs w:val="24"/>
        </w:rPr>
        <w:t>ud</w:t>
      </w:r>
      <w:r w:rsidRPr="004462F8">
        <w:rPr>
          <w:rFonts w:cstheme="minorHAnsi"/>
          <w:color w:val="0070C0"/>
          <w:sz w:val="24"/>
          <w:szCs w:val="24"/>
        </w:rPr>
        <w:t xml:space="preserve">: </w:t>
      </w:r>
    </w:p>
    <w:p w14:paraId="7F12B689" w14:textId="2D90ACF6" w:rsidR="000B41E5" w:rsidRDefault="000B41E5" w:rsidP="002C288C">
      <w:pPr>
        <w:spacing w:after="0"/>
        <w:jc w:val="both"/>
        <w:rPr>
          <w:rFonts w:cstheme="minorHAnsi"/>
          <w:color w:val="0070C0"/>
          <w:sz w:val="24"/>
          <w:szCs w:val="24"/>
        </w:rPr>
      </w:pPr>
      <w:r>
        <w:rPr>
          <w:rFonts w:cstheme="minorHAnsi"/>
          <w:color w:val="0070C0"/>
          <w:sz w:val="24"/>
          <w:szCs w:val="24"/>
        </w:rPr>
        <w:t>Arvestada</w:t>
      </w:r>
      <w:r w:rsidR="002C288C">
        <w:rPr>
          <w:rFonts w:cstheme="minorHAnsi"/>
          <w:color w:val="0070C0"/>
          <w:sz w:val="24"/>
          <w:szCs w:val="24"/>
        </w:rPr>
        <w:t xml:space="preserve"> </w:t>
      </w:r>
      <w:r w:rsidR="002C288C" w:rsidRPr="002C288C">
        <w:rPr>
          <w:rFonts w:cstheme="minorHAnsi"/>
          <w:color w:val="0070C0"/>
          <w:sz w:val="24"/>
          <w:szCs w:val="24"/>
        </w:rPr>
        <w:t xml:space="preserve">KOV hoonete energiatõhususe parandamise meetmete </w:t>
      </w:r>
      <w:r>
        <w:rPr>
          <w:rFonts w:cstheme="minorHAnsi"/>
          <w:color w:val="0070C0"/>
          <w:sz w:val="24"/>
          <w:szCs w:val="24"/>
        </w:rPr>
        <w:t>planeerimisel kasvupiirkonda vajadustega.</w:t>
      </w:r>
    </w:p>
    <w:p w14:paraId="67FD30E9" w14:textId="77777777" w:rsidR="00A00CAA" w:rsidRPr="004462F8" w:rsidRDefault="00A00CAA" w:rsidP="00A00CAA">
      <w:pPr>
        <w:spacing w:after="0"/>
        <w:jc w:val="both"/>
        <w:rPr>
          <w:rFonts w:cstheme="minorHAnsi"/>
          <w:color w:val="0070C0"/>
          <w:sz w:val="24"/>
          <w:szCs w:val="24"/>
        </w:rPr>
      </w:pPr>
    </w:p>
    <w:p w14:paraId="774A383A" w14:textId="77777777" w:rsidR="00A00CAA" w:rsidRDefault="00A00CAA" w:rsidP="00757EEC">
      <w:pPr>
        <w:pStyle w:val="ListParagraph"/>
        <w:numPr>
          <w:ilvl w:val="0"/>
          <w:numId w:val="12"/>
        </w:numPr>
        <w:jc w:val="both"/>
        <w:rPr>
          <w:rFonts w:asciiTheme="minorHAnsi" w:hAnsiTheme="minorHAnsi" w:cstheme="minorHAnsi"/>
          <w:b/>
          <w:bCs/>
          <w:sz w:val="24"/>
          <w:szCs w:val="24"/>
        </w:rPr>
      </w:pPr>
      <w:r>
        <w:rPr>
          <w:rFonts w:asciiTheme="minorHAnsi" w:hAnsiTheme="minorHAnsi" w:cstheme="minorHAnsi"/>
          <w:b/>
          <w:bCs/>
          <w:sz w:val="24"/>
          <w:szCs w:val="24"/>
        </w:rPr>
        <w:t>KOVidele seatud bürokraatlike nõuete vähenemine</w:t>
      </w:r>
    </w:p>
    <w:p w14:paraId="755C0440" w14:textId="77777777" w:rsidR="00A00CAA" w:rsidRDefault="00A00CAA" w:rsidP="00A00CAA">
      <w:pPr>
        <w:spacing w:after="0"/>
        <w:jc w:val="both"/>
        <w:rPr>
          <w:rFonts w:cstheme="minorHAnsi"/>
          <w:b/>
          <w:bCs/>
          <w:sz w:val="24"/>
          <w:szCs w:val="24"/>
        </w:rPr>
      </w:pPr>
    </w:p>
    <w:p w14:paraId="661BFCC4" w14:textId="77777777" w:rsidR="00A00CAA" w:rsidRPr="000C5211" w:rsidRDefault="00A00CAA" w:rsidP="00A00CAA">
      <w:pPr>
        <w:spacing w:after="0"/>
        <w:jc w:val="both"/>
        <w:rPr>
          <w:rFonts w:cstheme="minorHAnsi"/>
          <w:sz w:val="24"/>
          <w:szCs w:val="24"/>
        </w:rPr>
      </w:pPr>
      <w:r w:rsidRPr="000C5211">
        <w:rPr>
          <w:rFonts w:cstheme="minorHAnsi"/>
          <w:sz w:val="24"/>
          <w:szCs w:val="24"/>
        </w:rPr>
        <w:t xml:space="preserve">KOVidele on </w:t>
      </w:r>
      <w:r>
        <w:rPr>
          <w:rFonts w:cstheme="minorHAnsi"/>
          <w:sz w:val="24"/>
          <w:szCs w:val="24"/>
        </w:rPr>
        <w:t xml:space="preserve">seatud erinevaid nõudeid koolidele ja lasteaedadele, mis suurendavad KOVide kulusid. Tulubaasi reformi raames oleks mõistlik lasteaedade ja koolide nõuded üle vaadata. Nt lasteaedades nõutakse 4 ruutmeetrit lapse kohta, mis võiks olla väiksem. See muudatus mõjuks positiivselt Harjumaa KOVidele, vähendades lasteaedade pidamise ja uute kohtade esitamise kulusid.  </w:t>
      </w:r>
    </w:p>
    <w:p w14:paraId="5ABCCC3C" w14:textId="77777777" w:rsidR="00A00CAA" w:rsidRDefault="00A00CAA" w:rsidP="00A00CAA">
      <w:pPr>
        <w:spacing w:after="0"/>
        <w:jc w:val="both"/>
        <w:rPr>
          <w:rFonts w:cstheme="minorHAnsi"/>
          <w:b/>
          <w:bCs/>
          <w:sz w:val="24"/>
          <w:szCs w:val="24"/>
        </w:rPr>
      </w:pPr>
    </w:p>
    <w:p w14:paraId="17F3FC41" w14:textId="77777777" w:rsidR="00A00CAA" w:rsidRDefault="00A00CAA" w:rsidP="00A00CAA">
      <w:pPr>
        <w:spacing w:after="0" w:line="240" w:lineRule="auto"/>
        <w:jc w:val="both"/>
        <w:rPr>
          <w:rFonts w:cstheme="minorHAnsi"/>
          <w:color w:val="0070C0"/>
          <w:sz w:val="24"/>
          <w:szCs w:val="24"/>
        </w:rPr>
      </w:pPr>
      <w:r w:rsidRPr="004462F8">
        <w:rPr>
          <w:rFonts w:cstheme="minorHAnsi"/>
          <w:color w:val="0070C0"/>
          <w:sz w:val="24"/>
          <w:szCs w:val="24"/>
        </w:rPr>
        <w:t>Ettepanek:</w:t>
      </w:r>
      <w:r>
        <w:rPr>
          <w:rFonts w:cstheme="minorHAnsi"/>
          <w:color w:val="0070C0"/>
          <w:sz w:val="24"/>
          <w:szCs w:val="24"/>
        </w:rPr>
        <w:t xml:space="preserve"> Algatada lasteaedale kehtestatud nõuete ülevaatamine</w:t>
      </w:r>
      <w:r w:rsidRPr="004462F8">
        <w:rPr>
          <w:rFonts w:cstheme="minorHAnsi"/>
          <w:color w:val="0070C0"/>
          <w:sz w:val="24"/>
          <w:szCs w:val="24"/>
        </w:rPr>
        <w:t>.</w:t>
      </w:r>
    </w:p>
    <w:p w14:paraId="0C1C4770" w14:textId="77777777" w:rsidR="00920FA8" w:rsidRDefault="00920FA8" w:rsidP="001B6A2C">
      <w:pPr>
        <w:spacing w:after="0" w:line="240" w:lineRule="auto"/>
        <w:jc w:val="both"/>
        <w:rPr>
          <w:sz w:val="24"/>
          <w:szCs w:val="24"/>
        </w:rPr>
      </w:pPr>
    </w:p>
    <w:p w14:paraId="22FA45E9" w14:textId="77777777" w:rsidR="00A00CAA" w:rsidRPr="00A00CAA" w:rsidRDefault="00A00CAA" w:rsidP="00757EEC">
      <w:pPr>
        <w:pStyle w:val="ListParagraph"/>
        <w:numPr>
          <w:ilvl w:val="0"/>
          <w:numId w:val="12"/>
        </w:numPr>
        <w:jc w:val="both"/>
        <w:rPr>
          <w:rFonts w:asciiTheme="minorHAnsi" w:hAnsiTheme="minorHAnsi" w:cstheme="minorHAnsi"/>
          <w:b/>
          <w:bCs/>
          <w:sz w:val="24"/>
          <w:szCs w:val="24"/>
        </w:rPr>
      </w:pPr>
      <w:r w:rsidRPr="00A00CAA">
        <w:rPr>
          <w:rFonts w:asciiTheme="minorHAnsi" w:hAnsiTheme="minorHAnsi" w:cstheme="minorHAnsi"/>
          <w:b/>
          <w:bCs/>
          <w:sz w:val="24"/>
          <w:szCs w:val="24"/>
        </w:rPr>
        <w:t>Potentsiaalsete uute kohalike maksude rakendamine</w:t>
      </w:r>
    </w:p>
    <w:p w14:paraId="7658B09E" w14:textId="77777777" w:rsidR="00A00CAA" w:rsidRDefault="00A00CAA" w:rsidP="00A00CAA">
      <w:pPr>
        <w:spacing w:after="0" w:line="240" w:lineRule="auto"/>
        <w:jc w:val="both"/>
        <w:rPr>
          <w:sz w:val="24"/>
          <w:szCs w:val="24"/>
        </w:rPr>
      </w:pPr>
    </w:p>
    <w:p w14:paraId="437C8759" w14:textId="77777777" w:rsidR="00A00CAA" w:rsidRDefault="00A00CAA" w:rsidP="00A00CAA">
      <w:pPr>
        <w:spacing w:after="0" w:line="240" w:lineRule="auto"/>
        <w:jc w:val="both"/>
        <w:rPr>
          <w:sz w:val="24"/>
          <w:szCs w:val="24"/>
        </w:rPr>
      </w:pPr>
      <w:r w:rsidRPr="00CE52D7">
        <w:rPr>
          <w:sz w:val="24"/>
          <w:szCs w:val="24"/>
        </w:rPr>
        <w:t xml:space="preserve">OECD kohaselt on väga madal finantsautonoomia oluline riskitegur KOVide eduka toimimise tagamisel. Uuringute kohaselt töötavad KOVid kõige tõhusamalt siis, kui elanikud maksavad kohalike teenuste eest läbi kohalike maksude ja tasude. Finantsautonoomia suurendab avalikku vastutust pakutavate teenuse osas, kuna võimaldab leida tasakaalu </w:t>
      </w:r>
      <w:r>
        <w:rPr>
          <w:sz w:val="24"/>
          <w:szCs w:val="24"/>
        </w:rPr>
        <w:t>elanike</w:t>
      </w:r>
      <w:r w:rsidRPr="00CE52D7">
        <w:rPr>
          <w:sz w:val="24"/>
          <w:szCs w:val="24"/>
        </w:rPr>
        <w:t xml:space="preserve"> soovide</w:t>
      </w:r>
      <w:r>
        <w:rPr>
          <w:sz w:val="24"/>
          <w:szCs w:val="24"/>
        </w:rPr>
        <w:t xml:space="preserve"> vahel – palju ollakse nõus makse maksma võrreldes soovitud kohalike teenuste tasemega</w:t>
      </w:r>
      <w:r w:rsidRPr="00CE52D7">
        <w:rPr>
          <w:rStyle w:val="FootnoteReference"/>
          <w:sz w:val="24"/>
          <w:szCs w:val="24"/>
        </w:rPr>
        <w:footnoteReference w:id="19"/>
      </w:r>
      <w:r w:rsidRPr="00CE52D7">
        <w:rPr>
          <w:sz w:val="24"/>
          <w:szCs w:val="24"/>
        </w:rPr>
        <w:t xml:space="preserve">. </w:t>
      </w:r>
      <w:r>
        <w:rPr>
          <w:sz w:val="24"/>
          <w:szCs w:val="24"/>
        </w:rPr>
        <w:t xml:space="preserve"> </w:t>
      </w:r>
    </w:p>
    <w:p w14:paraId="1B61352E" w14:textId="77777777" w:rsidR="00A00CAA" w:rsidRDefault="00A00CAA" w:rsidP="00A00CAA">
      <w:pPr>
        <w:spacing w:after="0" w:line="240" w:lineRule="auto"/>
        <w:jc w:val="both"/>
        <w:rPr>
          <w:sz w:val="24"/>
          <w:szCs w:val="24"/>
        </w:rPr>
      </w:pPr>
    </w:p>
    <w:p w14:paraId="7B41E300" w14:textId="77777777" w:rsidR="00A00CAA" w:rsidRDefault="00A00CAA" w:rsidP="00A00CAA">
      <w:pPr>
        <w:spacing w:after="0" w:line="240" w:lineRule="auto"/>
        <w:jc w:val="both"/>
        <w:rPr>
          <w:sz w:val="24"/>
          <w:szCs w:val="24"/>
        </w:rPr>
      </w:pPr>
      <w:r w:rsidRPr="003346FD">
        <w:rPr>
          <w:sz w:val="24"/>
          <w:szCs w:val="24"/>
        </w:rPr>
        <w:lastRenderedPageBreak/>
        <w:t xml:space="preserve">Kohalike maksude laekumise osakaal Eestis on alla 1% KOVide põhitegevuse tuludest. Kohalikest maksudest on kõige suuremaks tuluallikaks parkimistasu, sellele järgnevad reklaamimaks ning teede- ja tänavate sulgemise tasu. </w:t>
      </w:r>
    </w:p>
    <w:p w14:paraId="29AE672B" w14:textId="77777777" w:rsidR="00A00CAA" w:rsidRDefault="00A00CAA" w:rsidP="00A00CAA">
      <w:pPr>
        <w:spacing w:after="0" w:line="240" w:lineRule="auto"/>
        <w:jc w:val="both"/>
        <w:rPr>
          <w:sz w:val="24"/>
          <w:szCs w:val="24"/>
        </w:rPr>
      </w:pPr>
    </w:p>
    <w:p w14:paraId="22B8B351" w14:textId="77777777" w:rsidR="00A00CAA" w:rsidRDefault="00A00CAA" w:rsidP="00A00CAA">
      <w:pPr>
        <w:spacing w:after="0" w:line="240" w:lineRule="auto"/>
        <w:jc w:val="both"/>
        <w:rPr>
          <w:sz w:val="24"/>
          <w:szCs w:val="24"/>
        </w:rPr>
      </w:pPr>
      <w:r w:rsidRPr="003346FD">
        <w:rPr>
          <w:sz w:val="24"/>
          <w:szCs w:val="24"/>
        </w:rPr>
        <w:t>KOVid ei ole hetkel kehtestanud mootorsõidukimaksu, loomapidamismaksu ja lõbustusmaksu. Alates 2012. a tunnistati müügimaks kehtetuks. Peamine põhjus on eeldatavasti see, et kohalikust maksust saadav väike tulu ei tasu ära.</w:t>
      </w:r>
    </w:p>
    <w:p w14:paraId="22C3E3F9" w14:textId="77777777" w:rsidR="00A00CAA" w:rsidRPr="00C17A3B" w:rsidRDefault="00A00CAA" w:rsidP="00A00CAA">
      <w:pPr>
        <w:spacing w:after="0" w:line="240" w:lineRule="auto"/>
        <w:jc w:val="both"/>
        <w:rPr>
          <w:sz w:val="24"/>
          <w:szCs w:val="24"/>
        </w:rPr>
      </w:pPr>
    </w:p>
    <w:p w14:paraId="500D8E1D" w14:textId="77777777" w:rsidR="00A00CAA" w:rsidRPr="00C17A3B" w:rsidRDefault="00A00CAA" w:rsidP="00A00CAA">
      <w:pPr>
        <w:spacing w:after="0" w:line="240" w:lineRule="auto"/>
        <w:jc w:val="both"/>
        <w:rPr>
          <w:sz w:val="24"/>
          <w:szCs w:val="24"/>
        </w:rPr>
      </w:pPr>
      <w:r w:rsidRPr="00C17A3B">
        <w:rPr>
          <w:sz w:val="24"/>
          <w:szCs w:val="24"/>
        </w:rPr>
        <w:t xml:space="preserve">Aastal 2017 Riigikontrolli läbiviidud küsitlusele vastanud </w:t>
      </w:r>
      <w:r>
        <w:rPr>
          <w:sz w:val="24"/>
          <w:szCs w:val="24"/>
        </w:rPr>
        <w:t>KOVidest</w:t>
      </w:r>
      <w:r w:rsidRPr="00C17A3B">
        <w:rPr>
          <w:sz w:val="24"/>
          <w:szCs w:val="24"/>
        </w:rPr>
        <w:t xml:space="preserve"> peaaegu kolmandik soovis saada täiendavat tulu kohalikest maksudest</w:t>
      </w:r>
      <w:r w:rsidRPr="00C17A3B">
        <w:rPr>
          <w:sz w:val="24"/>
          <w:szCs w:val="24"/>
          <w:vertAlign w:val="superscript"/>
        </w:rPr>
        <w:footnoteReference w:id="20"/>
      </w:r>
      <w:r w:rsidRPr="00C17A3B">
        <w:rPr>
          <w:sz w:val="24"/>
          <w:szCs w:val="24"/>
        </w:rPr>
        <w:t>. Enim eelistati kinnisvaramaksu (osa soovis saada seda maamaksuga koos), raskeveokimaksu, turistimaksu ning vähesed ummiku- ja linna sissesõidutasu</w:t>
      </w:r>
      <w:r>
        <w:rPr>
          <w:sz w:val="24"/>
          <w:szCs w:val="24"/>
        </w:rPr>
        <w:t xml:space="preserve"> (eeldatavasti seepärast, et seda on mõistlik rakendada ka vähestes kohtades)</w:t>
      </w:r>
      <w:r w:rsidRPr="00C17A3B">
        <w:rPr>
          <w:sz w:val="24"/>
          <w:szCs w:val="24"/>
        </w:rPr>
        <w:t>.</w:t>
      </w:r>
    </w:p>
    <w:p w14:paraId="3311D364" w14:textId="77777777" w:rsidR="00A00CAA" w:rsidRDefault="00A00CAA" w:rsidP="00A00CAA">
      <w:pPr>
        <w:spacing w:after="0" w:line="240" w:lineRule="auto"/>
        <w:jc w:val="both"/>
        <w:rPr>
          <w:i/>
          <w:iCs/>
          <w:sz w:val="24"/>
          <w:szCs w:val="24"/>
        </w:rPr>
      </w:pPr>
    </w:p>
    <w:p w14:paraId="4DE76989" w14:textId="60F8B165" w:rsidR="00A00CAA" w:rsidRDefault="00A00CAA" w:rsidP="00A00CAA">
      <w:pPr>
        <w:spacing w:after="0" w:line="240" w:lineRule="auto"/>
        <w:jc w:val="both"/>
        <w:rPr>
          <w:sz w:val="24"/>
          <w:szCs w:val="24"/>
        </w:rPr>
      </w:pPr>
      <w:r>
        <w:rPr>
          <w:sz w:val="24"/>
          <w:szCs w:val="24"/>
        </w:rPr>
        <w:t xml:space="preserve">Võimalikud uued kohalikud maksud </w:t>
      </w:r>
      <w:r w:rsidR="00D35664">
        <w:rPr>
          <w:sz w:val="24"/>
          <w:szCs w:val="24"/>
        </w:rPr>
        <w:t xml:space="preserve">(nt </w:t>
      </w:r>
      <w:r>
        <w:rPr>
          <w:sz w:val="24"/>
          <w:szCs w:val="24"/>
        </w:rPr>
        <w:t>turistimaks, sissesõidutasu</w:t>
      </w:r>
      <w:r w:rsidR="002C288C">
        <w:rPr>
          <w:sz w:val="24"/>
          <w:szCs w:val="24"/>
        </w:rPr>
        <w:t xml:space="preserve"> ja kohaliku kasu instrumendid</w:t>
      </w:r>
      <w:r>
        <w:rPr>
          <w:sz w:val="24"/>
          <w:szCs w:val="24"/>
        </w:rPr>
        <w:t xml:space="preserve">) tuleb koostöös KOVidega põhjalikult läbi arutada. </w:t>
      </w:r>
    </w:p>
    <w:p w14:paraId="41C88E2D" w14:textId="77777777" w:rsidR="00A00CAA" w:rsidRDefault="00A00CAA" w:rsidP="00A00CAA">
      <w:pPr>
        <w:spacing w:after="0" w:line="240" w:lineRule="auto"/>
        <w:jc w:val="both"/>
        <w:rPr>
          <w:sz w:val="24"/>
          <w:szCs w:val="24"/>
        </w:rPr>
      </w:pPr>
    </w:p>
    <w:p w14:paraId="46033348" w14:textId="57D6E0A3" w:rsidR="00A00CAA" w:rsidRPr="00D35664" w:rsidRDefault="00A00CAA" w:rsidP="00A00CAA">
      <w:pPr>
        <w:spacing w:after="0" w:line="240" w:lineRule="auto"/>
        <w:jc w:val="both"/>
        <w:rPr>
          <w:rFonts w:cstheme="minorHAnsi"/>
          <w:color w:val="0070C0"/>
          <w:sz w:val="24"/>
          <w:szCs w:val="24"/>
        </w:rPr>
      </w:pPr>
      <w:r w:rsidRPr="00D35664">
        <w:rPr>
          <w:rFonts w:cstheme="minorHAnsi"/>
          <w:color w:val="0070C0"/>
          <w:sz w:val="24"/>
          <w:szCs w:val="24"/>
        </w:rPr>
        <w:t xml:space="preserve">Vastavad ettepanekud ja VTK </w:t>
      </w:r>
      <w:r w:rsidR="00D35664">
        <w:rPr>
          <w:rFonts w:cstheme="minorHAnsi"/>
          <w:color w:val="0070C0"/>
          <w:sz w:val="24"/>
          <w:szCs w:val="24"/>
        </w:rPr>
        <w:t xml:space="preserve">võiksid </w:t>
      </w:r>
      <w:r w:rsidRPr="00D35664">
        <w:rPr>
          <w:rFonts w:cstheme="minorHAnsi"/>
          <w:color w:val="0070C0"/>
          <w:sz w:val="24"/>
          <w:szCs w:val="24"/>
        </w:rPr>
        <w:t>valmi</w:t>
      </w:r>
      <w:r w:rsidR="00D35664">
        <w:rPr>
          <w:rFonts w:cstheme="minorHAnsi"/>
          <w:color w:val="0070C0"/>
          <w:sz w:val="24"/>
          <w:szCs w:val="24"/>
        </w:rPr>
        <w:t>da</w:t>
      </w:r>
      <w:r w:rsidRPr="00D35664">
        <w:rPr>
          <w:rFonts w:cstheme="minorHAnsi"/>
          <w:color w:val="0070C0"/>
          <w:sz w:val="24"/>
          <w:szCs w:val="24"/>
        </w:rPr>
        <w:t xml:space="preserve"> 2024. a </w:t>
      </w:r>
      <w:r w:rsidR="00D35664">
        <w:rPr>
          <w:rFonts w:cstheme="minorHAnsi"/>
          <w:color w:val="0070C0"/>
          <w:sz w:val="24"/>
          <w:szCs w:val="24"/>
        </w:rPr>
        <w:t>lõpuks</w:t>
      </w:r>
      <w:r w:rsidRPr="00D35664">
        <w:rPr>
          <w:rFonts w:cstheme="minorHAnsi"/>
          <w:color w:val="0070C0"/>
          <w:sz w:val="24"/>
          <w:szCs w:val="24"/>
        </w:rPr>
        <w:t>, riigikogu menetlusse saab kohalike maksude teema suunata 202</w:t>
      </w:r>
      <w:r w:rsidR="00D35664" w:rsidRPr="00D35664">
        <w:rPr>
          <w:rFonts w:cstheme="minorHAnsi"/>
          <w:color w:val="0070C0"/>
          <w:sz w:val="24"/>
          <w:szCs w:val="24"/>
        </w:rPr>
        <w:t>5. a</w:t>
      </w:r>
      <w:r w:rsidRPr="00D35664">
        <w:rPr>
          <w:rFonts w:cstheme="minorHAnsi"/>
          <w:color w:val="0070C0"/>
          <w:sz w:val="24"/>
          <w:szCs w:val="24"/>
        </w:rPr>
        <w:t>. Potentsiaalne jõustumise aeg on 202</w:t>
      </w:r>
      <w:r w:rsidR="00D35664" w:rsidRPr="00D35664">
        <w:rPr>
          <w:rFonts w:cstheme="minorHAnsi"/>
          <w:color w:val="0070C0"/>
          <w:sz w:val="24"/>
          <w:szCs w:val="24"/>
        </w:rPr>
        <w:t>7</w:t>
      </w:r>
      <w:r w:rsidRPr="00D35664">
        <w:rPr>
          <w:rFonts w:cstheme="minorHAnsi"/>
          <w:color w:val="0070C0"/>
          <w:sz w:val="24"/>
          <w:szCs w:val="24"/>
        </w:rPr>
        <w:t xml:space="preserve"> a. </w:t>
      </w:r>
    </w:p>
    <w:p w14:paraId="314B8DDF" w14:textId="77777777" w:rsidR="00920FA8" w:rsidRDefault="00920FA8" w:rsidP="001B6A2C">
      <w:pPr>
        <w:spacing w:after="0" w:line="240" w:lineRule="auto"/>
        <w:jc w:val="both"/>
        <w:rPr>
          <w:sz w:val="24"/>
          <w:szCs w:val="24"/>
        </w:rPr>
      </w:pPr>
    </w:p>
    <w:p w14:paraId="433CF8AD" w14:textId="77777777" w:rsidR="00D35664" w:rsidRPr="004462F8" w:rsidRDefault="00D35664" w:rsidP="00757EEC">
      <w:pPr>
        <w:pStyle w:val="ListParagraph"/>
        <w:numPr>
          <w:ilvl w:val="0"/>
          <w:numId w:val="12"/>
        </w:numPr>
        <w:jc w:val="both"/>
        <w:rPr>
          <w:rFonts w:asciiTheme="minorHAnsi" w:hAnsiTheme="minorHAnsi" w:cstheme="minorHAnsi"/>
          <w:b/>
          <w:bCs/>
          <w:sz w:val="24"/>
          <w:szCs w:val="24"/>
        </w:rPr>
      </w:pPr>
      <w:r w:rsidRPr="004462F8">
        <w:rPr>
          <w:rFonts w:asciiTheme="minorHAnsi" w:hAnsiTheme="minorHAnsi" w:cstheme="minorHAnsi"/>
          <w:b/>
          <w:bCs/>
          <w:sz w:val="24"/>
          <w:szCs w:val="24"/>
        </w:rPr>
        <w:t>KOV laenuvõime piirangute personaalne arvestus.</w:t>
      </w:r>
    </w:p>
    <w:p w14:paraId="151CD998" w14:textId="77777777" w:rsidR="00D35664" w:rsidRPr="004462F8" w:rsidRDefault="00D35664" w:rsidP="00D35664">
      <w:pPr>
        <w:spacing w:after="0"/>
        <w:jc w:val="both"/>
        <w:rPr>
          <w:rFonts w:cstheme="minorHAnsi"/>
          <w:sz w:val="24"/>
          <w:szCs w:val="24"/>
        </w:rPr>
      </w:pPr>
    </w:p>
    <w:p w14:paraId="0ED46068" w14:textId="77777777" w:rsidR="00D35664" w:rsidRPr="004462F8" w:rsidRDefault="00D35664" w:rsidP="00D35664">
      <w:pPr>
        <w:spacing w:after="0" w:line="240" w:lineRule="auto"/>
        <w:jc w:val="both"/>
        <w:rPr>
          <w:rFonts w:cstheme="minorHAnsi"/>
          <w:sz w:val="24"/>
          <w:szCs w:val="24"/>
        </w:rPr>
      </w:pPr>
      <w:r w:rsidRPr="004462F8">
        <w:rPr>
          <w:rFonts w:cstheme="minorHAnsi"/>
          <w:sz w:val="24"/>
          <w:szCs w:val="24"/>
        </w:rPr>
        <w:t>KOFS § 34 kohaselt on KOVidele võimaldatud individuaalne netovõlakoormuse piirmäär vahemikus 60%–100% põhitegevuse tuludest (ajutiselt 80%-100%). Üle 60% võib minna, kui põhitegevuse tulem on nt suurem kui 10%-i põhitegevuse tuludest. Covid kriisis määratud ajutine olukord on määratud lõppema</w:t>
      </w:r>
      <w:r>
        <w:rPr>
          <w:rFonts w:cstheme="minorHAnsi"/>
          <w:sz w:val="24"/>
          <w:szCs w:val="24"/>
        </w:rPr>
        <w:t xml:space="preserve"> ning</w:t>
      </w:r>
      <w:r w:rsidRPr="004462F8">
        <w:rPr>
          <w:rFonts w:cstheme="minorHAnsi"/>
          <w:sz w:val="24"/>
          <w:szCs w:val="24"/>
        </w:rPr>
        <w:t xml:space="preserve"> alates 2025. a hakkab ajutine määr 80% tulema allapoole 60%-le tagasi. </w:t>
      </w:r>
    </w:p>
    <w:p w14:paraId="04833480" w14:textId="77777777" w:rsidR="00D35664" w:rsidRPr="004462F8" w:rsidRDefault="00D35664" w:rsidP="00D35664">
      <w:pPr>
        <w:spacing w:after="0" w:line="240" w:lineRule="auto"/>
        <w:jc w:val="both"/>
        <w:rPr>
          <w:rFonts w:cstheme="minorHAnsi"/>
          <w:sz w:val="24"/>
          <w:szCs w:val="24"/>
        </w:rPr>
      </w:pPr>
    </w:p>
    <w:p w14:paraId="3881C740" w14:textId="77777777" w:rsidR="00D35664" w:rsidRPr="004462F8" w:rsidRDefault="00D35664" w:rsidP="00D35664">
      <w:pPr>
        <w:spacing w:after="0" w:line="240" w:lineRule="auto"/>
        <w:jc w:val="both"/>
        <w:rPr>
          <w:rFonts w:cstheme="minorHAnsi"/>
          <w:sz w:val="24"/>
          <w:szCs w:val="24"/>
        </w:rPr>
      </w:pPr>
      <w:r w:rsidRPr="004462F8">
        <w:rPr>
          <w:rFonts w:cstheme="minorHAnsi"/>
          <w:sz w:val="24"/>
          <w:szCs w:val="24"/>
        </w:rPr>
        <w:t xml:space="preserve">Piirmäära suurendamine 100% kõrgemale Harjumaa KOVide jaoks ei anna eeldatavasti perioodil 2025 – 2028. a tulemust, sest tulubaasi ümberkorralduse tõttu väheneb prognoositavalt põhitegevuse tulem ja seetõttu ka individuaalne netovõlakoormuse piirmäär. Küll aga see võib suurendada oluliselt riske finantsraskustesse sattumisel erinevatel KOVidel, kes nt majanduslikel väga headel aegadel teevad väga suuri investeeringuplaane, kuid majandusolukorra muutumisel ei suuda seda enam võlgu teenindada. </w:t>
      </w:r>
    </w:p>
    <w:p w14:paraId="65C5B74B" w14:textId="77777777" w:rsidR="00D35664" w:rsidRPr="004462F8" w:rsidRDefault="00D35664" w:rsidP="00D35664">
      <w:pPr>
        <w:spacing w:after="0" w:line="240" w:lineRule="auto"/>
        <w:jc w:val="both"/>
        <w:rPr>
          <w:rFonts w:cstheme="minorHAnsi"/>
          <w:sz w:val="24"/>
          <w:szCs w:val="24"/>
        </w:rPr>
      </w:pPr>
    </w:p>
    <w:p w14:paraId="6D15984D" w14:textId="77777777" w:rsidR="00D35664" w:rsidRPr="004462F8" w:rsidRDefault="00D35664" w:rsidP="00D35664">
      <w:pPr>
        <w:spacing w:after="0" w:line="240" w:lineRule="auto"/>
        <w:jc w:val="both"/>
        <w:rPr>
          <w:rFonts w:cstheme="minorHAnsi"/>
          <w:sz w:val="24"/>
          <w:szCs w:val="24"/>
        </w:rPr>
      </w:pPr>
      <w:r w:rsidRPr="004462F8">
        <w:rPr>
          <w:rFonts w:cstheme="minorHAnsi"/>
          <w:sz w:val="24"/>
          <w:szCs w:val="24"/>
        </w:rPr>
        <w:t xml:space="preserve">KOVid on senised investeerimisotsused ja laenude võtmised teinud arvestades netovõlakoormuse reeglite püsimist </w:t>
      </w:r>
      <w:r>
        <w:rPr>
          <w:rFonts w:cstheme="minorHAnsi"/>
          <w:sz w:val="24"/>
          <w:szCs w:val="24"/>
        </w:rPr>
        <w:t>järgnevate aastate osas</w:t>
      </w:r>
      <w:r w:rsidRPr="004462F8">
        <w:rPr>
          <w:rFonts w:cstheme="minorHAnsi"/>
          <w:sz w:val="24"/>
          <w:szCs w:val="24"/>
        </w:rPr>
        <w:t>. Kui riik otsustab piirmäärasid senisest allapoole tuua, ei ole nt 60% piirmääraga arvestanud KOVidel võimalik oma tegevust korrigeerida, et piirmäärast kinni pidada. Seega netovõlakoormuse reeglid peaksid olema võimalikud püsivad ja muudatustest etteteatamise aeg võimalikult pikk.</w:t>
      </w:r>
    </w:p>
    <w:p w14:paraId="7080BCED" w14:textId="77777777" w:rsidR="00D35664" w:rsidRPr="004462F8" w:rsidRDefault="00D35664" w:rsidP="00D35664">
      <w:pPr>
        <w:spacing w:after="0" w:line="240" w:lineRule="auto"/>
        <w:jc w:val="both"/>
        <w:rPr>
          <w:rFonts w:cstheme="minorHAnsi"/>
          <w:sz w:val="24"/>
          <w:szCs w:val="24"/>
        </w:rPr>
      </w:pPr>
    </w:p>
    <w:p w14:paraId="15DCD326" w14:textId="77777777" w:rsidR="00D35664" w:rsidRPr="004462F8" w:rsidRDefault="00D35664" w:rsidP="00D35664">
      <w:pPr>
        <w:spacing w:after="0" w:line="240" w:lineRule="auto"/>
        <w:jc w:val="both"/>
        <w:rPr>
          <w:rFonts w:cstheme="minorHAnsi"/>
          <w:sz w:val="24"/>
          <w:szCs w:val="24"/>
        </w:rPr>
      </w:pPr>
      <w:r w:rsidRPr="004462F8">
        <w:rPr>
          <w:rFonts w:cstheme="minorHAnsi"/>
          <w:sz w:val="24"/>
          <w:szCs w:val="24"/>
        </w:rPr>
        <w:t>Kehvema põhitegevuse tulemiga KOVide netovõlakoormuse piirmäära 60%-lt allapoole võib tekitada samuti neis KOVides ajutisi raskusi selle täitmisel majanduse konj</w:t>
      </w:r>
      <w:r>
        <w:rPr>
          <w:rFonts w:cstheme="minorHAnsi"/>
          <w:sz w:val="24"/>
          <w:szCs w:val="24"/>
        </w:rPr>
        <w:t>un</w:t>
      </w:r>
      <w:r w:rsidRPr="004462F8">
        <w:rPr>
          <w:rFonts w:cstheme="minorHAnsi"/>
          <w:sz w:val="24"/>
          <w:szCs w:val="24"/>
        </w:rPr>
        <w:t>ktuuri muutuse ajal nt tulumaksu laekumise kasvu pidurdumisel. Investeering</w:t>
      </w:r>
      <w:r>
        <w:rPr>
          <w:rFonts w:cstheme="minorHAnsi"/>
          <w:sz w:val="24"/>
          <w:szCs w:val="24"/>
        </w:rPr>
        <w:t>ud on mastaapse mahuga</w:t>
      </w:r>
      <w:r w:rsidRPr="004462F8">
        <w:rPr>
          <w:rFonts w:cstheme="minorHAnsi"/>
          <w:sz w:val="24"/>
          <w:szCs w:val="24"/>
        </w:rPr>
        <w:t xml:space="preserve"> ning madalal tasemel ja samal ajal volatiilse netovõlakoormuse piirmäära juures oleks KOVidel väga keeruline arvestada, kas plaanitud mahus investeeringu elluviimisel laenuga mahutakse </w:t>
      </w:r>
      <w:r w:rsidRPr="004462F8">
        <w:rPr>
          <w:rFonts w:cstheme="minorHAnsi"/>
          <w:sz w:val="24"/>
          <w:szCs w:val="24"/>
        </w:rPr>
        <w:lastRenderedPageBreak/>
        <w:t>eelseisval perioodil piirmäära sisse. Väikestele KOVidele on kindlasti kasulikum mingi kindel netovõlakoormuse piirmäär, sest see tagab stabiilsema investeerimiskeskkonna.</w:t>
      </w:r>
    </w:p>
    <w:p w14:paraId="539D26CE" w14:textId="77777777" w:rsidR="00D35664" w:rsidRPr="004462F8" w:rsidRDefault="00D35664" w:rsidP="00D35664">
      <w:pPr>
        <w:spacing w:after="0" w:line="240" w:lineRule="auto"/>
        <w:jc w:val="both"/>
        <w:rPr>
          <w:rFonts w:cstheme="minorHAnsi"/>
          <w:sz w:val="24"/>
          <w:szCs w:val="24"/>
        </w:rPr>
      </w:pPr>
    </w:p>
    <w:p w14:paraId="4EE68A0C" w14:textId="77777777" w:rsidR="00D35664" w:rsidRPr="004462F8" w:rsidRDefault="00D35664" w:rsidP="00D35664">
      <w:pPr>
        <w:spacing w:after="0" w:line="240" w:lineRule="auto"/>
        <w:jc w:val="both"/>
        <w:rPr>
          <w:rFonts w:cstheme="minorHAnsi"/>
          <w:sz w:val="24"/>
          <w:szCs w:val="24"/>
        </w:rPr>
      </w:pPr>
      <w:r w:rsidRPr="004462F8">
        <w:rPr>
          <w:rFonts w:cstheme="minorHAnsi"/>
          <w:sz w:val="24"/>
          <w:szCs w:val="24"/>
        </w:rPr>
        <w:t xml:space="preserve">Kui põhitegevuse tulem ei kata laenude teenindamise kulusid, siis pangad nii kui nii laenu ei annaks. Samuti jälgib ministeerium tähelepanelikult probleemsemas finantsolukorras KOVide finantskäitumist ning riskide suurenemisel ministeerium sekkub ja juhib olukorrale tähelepanu. </w:t>
      </w:r>
    </w:p>
    <w:p w14:paraId="7D4AC6B2" w14:textId="77777777" w:rsidR="00D35664" w:rsidRDefault="00D35664" w:rsidP="00D35664">
      <w:pPr>
        <w:spacing w:after="0"/>
        <w:jc w:val="both"/>
        <w:rPr>
          <w:rFonts w:cstheme="minorHAnsi"/>
          <w:sz w:val="24"/>
          <w:szCs w:val="24"/>
        </w:rPr>
      </w:pPr>
    </w:p>
    <w:p w14:paraId="38B5A0C9" w14:textId="7838E59B" w:rsidR="00D35664" w:rsidRPr="004462F8" w:rsidRDefault="00A356B9" w:rsidP="00D35664">
      <w:pPr>
        <w:spacing w:after="0" w:line="240" w:lineRule="auto"/>
        <w:rPr>
          <w:rFonts w:cstheme="minorHAnsi"/>
          <w:sz w:val="24"/>
          <w:szCs w:val="24"/>
        </w:rPr>
      </w:pPr>
      <w:r>
        <w:rPr>
          <w:rFonts w:cstheme="minorHAnsi"/>
          <w:sz w:val="24"/>
          <w:szCs w:val="24"/>
        </w:rPr>
        <w:t xml:space="preserve">Näide 3 </w:t>
      </w:r>
      <w:r w:rsidR="00D35664" w:rsidRPr="004462F8">
        <w:rPr>
          <w:rFonts w:cstheme="minorHAnsi"/>
          <w:sz w:val="24"/>
          <w:szCs w:val="24"/>
        </w:rPr>
        <w:t>Netovõlakoormuse arvutamise kriteeriumite muutus 2019</w:t>
      </w:r>
      <w:r w:rsidR="00D35664" w:rsidRPr="004462F8">
        <w:rPr>
          <w:rFonts w:eastAsia="Times New Roman" w:cstheme="minorHAnsi"/>
          <w:sz w:val="24"/>
          <w:szCs w:val="24"/>
          <w:lang w:eastAsia="et-EE"/>
        </w:rPr>
        <w:t>–</w:t>
      </w:r>
      <w:r w:rsidR="00D35664" w:rsidRPr="004462F8">
        <w:rPr>
          <w:rFonts w:cstheme="minorHAnsi"/>
          <w:sz w:val="24"/>
          <w:szCs w:val="24"/>
        </w:rPr>
        <w:t>2028</w:t>
      </w:r>
      <w:r w:rsidR="00D35664" w:rsidRPr="004462F8">
        <w:rPr>
          <w:rStyle w:val="FootnoteReference"/>
          <w:rFonts w:cstheme="minorHAnsi"/>
          <w:sz w:val="24"/>
          <w:szCs w:val="24"/>
        </w:rPr>
        <w:footnoteReference w:id="21"/>
      </w:r>
    </w:p>
    <w:p w14:paraId="2AE61E41" w14:textId="77777777" w:rsidR="00D35664" w:rsidRPr="004462F8" w:rsidRDefault="00D35664" w:rsidP="00D35664">
      <w:pPr>
        <w:spacing w:after="0" w:line="240" w:lineRule="auto"/>
        <w:rPr>
          <w:rFonts w:cstheme="minorHAnsi"/>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807"/>
        <w:gridCol w:w="823"/>
        <w:gridCol w:w="718"/>
        <w:gridCol w:w="703"/>
        <w:gridCol w:w="703"/>
        <w:gridCol w:w="718"/>
      </w:tblGrid>
      <w:tr w:rsidR="00D35664" w:rsidRPr="004462F8" w14:paraId="3056A83B" w14:textId="77777777" w:rsidTr="00D2244E">
        <w:tc>
          <w:tcPr>
            <w:tcW w:w="4610" w:type="dxa"/>
            <w:tcBorders>
              <w:top w:val="single" w:sz="4" w:space="0" w:color="auto"/>
              <w:left w:val="single" w:sz="4" w:space="0" w:color="auto"/>
              <w:bottom w:val="single" w:sz="4" w:space="0" w:color="auto"/>
              <w:right w:val="single" w:sz="4" w:space="0" w:color="auto"/>
            </w:tcBorders>
            <w:hideMark/>
          </w:tcPr>
          <w:p w14:paraId="59237848" w14:textId="77777777" w:rsidR="00D35664" w:rsidRPr="004462F8" w:rsidRDefault="00D35664" w:rsidP="00D2244E">
            <w:pPr>
              <w:spacing w:after="0" w:line="240" w:lineRule="auto"/>
              <w:rPr>
                <w:rFonts w:cstheme="minorHAnsi"/>
                <w:b/>
                <w:sz w:val="24"/>
                <w:szCs w:val="24"/>
              </w:rPr>
            </w:pPr>
            <w:r w:rsidRPr="004462F8">
              <w:rPr>
                <w:rFonts w:cstheme="minorHAnsi"/>
                <w:b/>
                <w:sz w:val="24"/>
                <w:szCs w:val="24"/>
              </w:rPr>
              <w:t>Ülemmäär (olenevalt kumb järgmisest on suurem)</w:t>
            </w:r>
          </w:p>
        </w:tc>
        <w:tc>
          <w:tcPr>
            <w:tcW w:w="808" w:type="dxa"/>
            <w:tcBorders>
              <w:top w:val="single" w:sz="4" w:space="0" w:color="auto"/>
              <w:left w:val="single" w:sz="4" w:space="0" w:color="auto"/>
              <w:bottom w:val="single" w:sz="4" w:space="0" w:color="auto"/>
              <w:right w:val="single" w:sz="4" w:space="0" w:color="auto"/>
            </w:tcBorders>
            <w:hideMark/>
          </w:tcPr>
          <w:p w14:paraId="40CA45BC" w14:textId="77777777" w:rsidR="00D35664" w:rsidRPr="004462F8" w:rsidRDefault="00D35664" w:rsidP="00D2244E">
            <w:pPr>
              <w:spacing w:after="0" w:line="240" w:lineRule="auto"/>
              <w:rPr>
                <w:rFonts w:cstheme="minorHAnsi"/>
                <w:b/>
                <w:sz w:val="24"/>
                <w:szCs w:val="24"/>
              </w:rPr>
            </w:pPr>
            <w:r w:rsidRPr="004462F8">
              <w:rPr>
                <w:rFonts w:cstheme="minorHAnsi"/>
                <w:b/>
                <w:sz w:val="24"/>
                <w:szCs w:val="24"/>
              </w:rPr>
              <w:t>2019</w:t>
            </w:r>
          </w:p>
        </w:tc>
        <w:tc>
          <w:tcPr>
            <w:tcW w:w="816" w:type="dxa"/>
            <w:tcBorders>
              <w:top w:val="single" w:sz="4" w:space="0" w:color="auto"/>
              <w:left w:val="single" w:sz="4" w:space="0" w:color="auto"/>
              <w:bottom w:val="single" w:sz="4" w:space="0" w:color="auto"/>
              <w:right w:val="single" w:sz="4" w:space="0" w:color="auto"/>
            </w:tcBorders>
            <w:hideMark/>
          </w:tcPr>
          <w:p w14:paraId="2AE2267F" w14:textId="77777777" w:rsidR="00D35664" w:rsidRPr="004462F8" w:rsidRDefault="00D35664" w:rsidP="00D2244E">
            <w:pPr>
              <w:spacing w:after="0" w:line="240" w:lineRule="auto"/>
              <w:rPr>
                <w:rFonts w:cstheme="minorHAnsi"/>
                <w:b/>
                <w:sz w:val="24"/>
                <w:szCs w:val="24"/>
              </w:rPr>
            </w:pPr>
            <w:r w:rsidRPr="004462F8">
              <w:rPr>
                <w:rFonts w:cstheme="minorHAnsi"/>
                <w:b/>
                <w:sz w:val="24"/>
                <w:szCs w:val="24"/>
              </w:rPr>
              <w:t>2020</w:t>
            </w:r>
            <w:r w:rsidRPr="004462F8">
              <w:rPr>
                <w:rFonts w:eastAsia="Times New Roman" w:cstheme="minorHAnsi"/>
                <w:sz w:val="24"/>
                <w:szCs w:val="24"/>
                <w:lang w:eastAsia="et-EE"/>
              </w:rPr>
              <w:t>–</w:t>
            </w:r>
            <w:r w:rsidRPr="004462F8">
              <w:rPr>
                <w:rFonts w:cstheme="minorHAnsi"/>
                <w:b/>
                <w:sz w:val="24"/>
                <w:szCs w:val="24"/>
              </w:rPr>
              <w:t>2024</w:t>
            </w:r>
          </w:p>
        </w:tc>
        <w:tc>
          <w:tcPr>
            <w:tcW w:w="718" w:type="dxa"/>
            <w:tcBorders>
              <w:top w:val="single" w:sz="4" w:space="0" w:color="auto"/>
              <w:left w:val="single" w:sz="4" w:space="0" w:color="auto"/>
              <w:bottom w:val="single" w:sz="4" w:space="0" w:color="auto"/>
              <w:right w:val="single" w:sz="4" w:space="0" w:color="auto"/>
            </w:tcBorders>
            <w:hideMark/>
          </w:tcPr>
          <w:p w14:paraId="40EBB0E0" w14:textId="77777777" w:rsidR="00D35664" w:rsidRPr="004462F8" w:rsidRDefault="00D35664" w:rsidP="00D2244E">
            <w:pPr>
              <w:spacing w:after="0" w:line="240" w:lineRule="auto"/>
              <w:rPr>
                <w:rFonts w:cstheme="minorHAnsi"/>
                <w:b/>
                <w:sz w:val="24"/>
                <w:szCs w:val="24"/>
              </w:rPr>
            </w:pPr>
            <w:r w:rsidRPr="004462F8">
              <w:rPr>
                <w:rFonts w:cstheme="minorHAnsi"/>
                <w:b/>
                <w:sz w:val="24"/>
                <w:szCs w:val="24"/>
              </w:rPr>
              <w:t>2025</w:t>
            </w:r>
          </w:p>
        </w:tc>
        <w:tc>
          <w:tcPr>
            <w:tcW w:w="696" w:type="dxa"/>
            <w:tcBorders>
              <w:top w:val="single" w:sz="4" w:space="0" w:color="auto"/>
              <w:left w:val="single" w:sz="4" w:space="0" w:color="auto"/>
              <w:bottom w:val="single" w:sz="4" w:space="0" w:color="auto"/>
              <w:right w:val="single" w:sz="4" w:space="0" w:color="auto"/>
            </w:tcBorders>
            <w:hideMark/>
          </w:tcPr>
          <w:p w14:paraId="2CED59F1" w14:textId="77777777" w:rsidR="00D35664" w:rsidRPr="004462F8" w:rsidRDefault="00D35664" w:rsidP="00D2244E">
            <w:pPr>
              <w:spacing w:after="0" w:line="240" w:lineRule="auto"/>
              <w:rPr>
                <w:rFonts w:cstheme="minorHAnsi"/>
                <w:b/>
                <w:sz w:val="24"/>
                <w:szCs w:val="24"/>
              </w:rPr>
            </w:pPr>
            <w:r w:rsidRPr="004462F8">
              <w:rPr>
                <w:rFonts w:cstheme="minorHAnsi"/>
                <w:b/>
                <w:sz w:val="24"/>
                <w:szCs w:val="24"/>
              </w:rPr>
              <w:t>2026</w:t>
            </w:r>
          </w:p>
        </w:tc>
        <w:tc>
          <w:tcPr>
            <w:tcW w:w="696" w:type="dxa"/>
            <w:tcBorders>
              <w:top w:val="single" w:sz="4" w:space="0" w:color="auto"/>
              <w:left w:val="single" w:sz="4" w:space="0" w:color="auto"/>
              <w:bottom w:val="single" w:sz="4" w:space="0" w:color="auto"/>
              <w:right w:val="single" w:sz="4" w:space="0" w:color="auto"/>
            </w:tcBorders>
            <w:hideMark/>
          </w:tcPr>
          <w:p w14:paraId="28A040DA" w14:textId="77777777" w:rsidR="00D35664" w:rsidRPr="004462F8" w:rsidRDefault="00D35664" w:rsidP="00D2244E">
            <w:pPr>
              <w:spacing w:after="0" w:line="240" w:lineRule="auto"/>
              <w:rPr>
                <w:rFonts w:cstheme="minorHAnsi"/>
                <w:b/>
                <w:sz w:val="24"/>
                <w:szCs w:val="24"/>
              </w:rPr>
            </w:pPr>
            <w:r w:rsidRPr="004462F8">
              <w:rPr>
                <w:rFonts w:cstheme="minorHAnsi"/>
                <w:b/>
                <w:sz w:val="24"/>
                <w:szCs w:val="24"/>
              </w:rPr>
              <w:t>2027</w:t>
            </w:r>
          </w:p>
        </w:tc>
        <w:tc>
          <w:tcPr>
            <w:tcW w:w="718" w:type="dxa"/>
            <w:tcBorders>
              <w:top w:val="single" w:sz="4" w:space="0" w:color="auto"/>
              <w:left w:val="single" w:sz="4" w:space="0" w:color="auto"/>
              <w:bottom w:val="single" w:sz="4" w:space="0" w:color="auto"/>
              <w:right w:val="single" w:sz="4" w:space="0" w:color="auto"/>
            </w:tcBorders>
            <w:hideMark/>
          </w:tcPr>
          <w:p w14:paraId="26E4BDEB" w14:textId="77777777" w:rsidR="00D35664" w:rsidRPr="004462F8" w:rsidRDefault="00D35664" w:rsidP="00D2244E">
            <w:pPr>
              <w:spacing w:after="0" w:line="240" w:lineRule="auto"/>
              <w:rPr>
                <w:rFonts w:cstheme="minorHAnsi"/>
                <w:b/>
                <w:sz w:val="24"/>
                <w:szCs w:val="24"/>
              </w:rPr>
            </w:pPr>
            <w:r w:rsidRPr="004462F8">
              <w:rPr>
                <w:rFonts w:cstheme="minorHAnsi"/>
                <w:b/>
                <w:sz w:val="24"/>
                <w:szCs w:val="24"/>
              </w:rPr>
              <w:t>2028</w:t>
            </w:r>
          </w:p>
        </w:tc>
      </w:tr>
      <w:tr w:rsidR="00D35664" w:rsidRPr="004462F8" w14:paraId="74AE511B" w14:textId="77777777" w:rsidTr="00D2244E">
        <w:tc>
          <w:tcPr>
            <w:tcW w:w="4610" w:type="dxa"/>
            <w:tcBorders>
              <w:top w:val="single" w:sz="4" w:space="0" w:color="auto"/>
              <w:left w:val="single" w:sz="4" w:space="0" w:color="auto"/>
              <w:bottom w:val="single" w:sz="4" w:space="0" w:color="auto"/>
              <w:right w:val="single" w:sz="4" w:space="0" w:color="auto"/>
            </w:tcBorders>
            <w:hideMark/>
          </w:tcPr>
          <w:p w14:paraId="07809A55"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Põhitegevuse tulede ja põhitegevuse kulude vahe korrutatuna järgmise kordajaga</w:t>
            </w:r>
          </w:p>
        </w:tc>
        <w:tc>
          <w:tcPr>
            <w:tcW w:w="808" w:type="dxa"/>
            <w:tcBorders>
              <w:top w:val="single" w:sz="4" w:space="0" w:color="auto"/>
              <w:left w:val="single" w:sz="4" w:space="0" w:color="auto"/>
              <w:bottom w:val="single" w:sz="4" w:space="0" w:color="auto"/>
              <w:right w:val="single" w:sz="4" w:space="0" w:color="auto"/>
            </w:tcBorders>
            <w:hideMark/>
          </w:tcPr>
          <w:p w14:paraId="6BAD5983"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6x</w:t>
            </w:r>
          </w:p>
        </w:tc>
        <w:tc>
          <w:tcPr>
            <w:tcW w:w="816" w:type="dxa"/>
            <w:tcBorders>
              <w:top w:val="single" w:sz="4" w:space="0" w:color="auto"/>
              <w:left w:val="single" w:sz="4" w:space="0" w:color="auto"/>
              <w:bottom w:val="single" w:sz="4" w:space="0" w:color="auto"/>
              <w:right w:val="single" w:sz="4" w:space="0" w:color="auto"/>
            </w:tcBorders>
            <w:hideMark/>
          </w:tcPr>
          <w:p w14:paraId="744FDDFD"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10x</w:t>
            </w:r>
          </w:p>
        </w:tc>
        <w:tc>
          <w:tcPr>
            <w:tcW w:w="718" w:type="dxa"/>
            <w:tcBorders>
              <w:top w:val="single" w:sz="4" w:space="0" w:color="auto"/>
              <w:left w:val="single" w:sz="4" w:space="0" w:color="auto"/>
              <w:bottom w:val="single" w:sz="4" w:space="0" w:color="auto"/>
              <w:right w:val="single" w:sz="4" w:space="0" w:color="auto"/>
            </w:tcBorders>
            <w:hideMark/>
          </w:tcPr>
          <w:p w14:paraId="3704263A"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9x</w:t>
            </w:r>
          </w:p>
        </w:tc>
        <w:tc>
          <w:tcPr>
            <w:tcW w:w="696" w:type="dxa"/>
            <w:tcBorders>
              <w:top w:val="single" w:sz="4" w:space="0" w:color="auto"/>
              <w:left w:val="single" w:sz="4" w:space="0" w:color="auto"/>
              <w:bottom w:val="single" w:sz="4" w:space="0" w:color="auto"/>
              <w:right w:val="single" w:sz="4" w:space="0" w:color="auto"/>
            </w:tcBorders>
            <w:hideMark/>
          </w:tcPr>
          <w:p w14:paraId="353B4787"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8x</w:t>
            </w:r>
          </w:p>
        </w:tc>
        <w:tc>
          <w:tcPr>
            <w:tcW w:w="696" w:type="dxa"/>
            <w:tcBorders>
              <w:top w:val="single" w:sz="4" w:space="0" w:color="auto"/>
              <w:left w:val="single" w:sz="4" w:space="0" w:color="auto"/>
              <w:bottom w:val="single" w:sz="4" w:space="0" w:color="auto"/>
              <w:right w:val="single" w:sz="4" w:space="0" w:color="auto"/>
            </w:tcBorders>
            <w:hideMark/>
          </w:tcPr>
          <w:p w14:paraId="3E33D252"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7x</w:t>
            </w:r>
          </w:p>
        </w:tc>
        <w:tc>
          <w:tcPr>
            <w:tcW w:w="718" w:type="dxa"/>
            <w:tcBorders>
              <w:top w:val="single" w:sz="4" w:space="0" w:color="auto"/>
              <w:left w:val="single" w:sz="4" w:space="0" w:color="auto"/>
              <w:bottom w:val="single" w:sz="4" w:space="0" w:color="auto"/>
              <w:right w:val="single" w:sz="4" w:space="0" w:color="auto"/>
            </w:tcBorders>
            <w:hideMark/>
          </w:tcPr>
          <w:p w14:paraId="65186A2E"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6x</w:t>
            </w:r>
          </w:p>
        </w:tc>
      </w:tr>
      <w:tr w:rsidR="00D35664" w:rsidRPr="004462F8" w14:paraId="5D647693" w14:textId="77777777" w:rsidTr="00D2244E">
        <w:tc>
          <w:tcPr>
            <w:tcW w:w="4610" w:type="dxa"/>
            <w:tcBorders>
              <w:top w:val="single" w:sz="4" w:space="0" w:color="auto"/>
              <w:left w:val="single" w:sz="4" w:space="0" w:color="auto"/>
              <w:bottom w:val="single" w:sz="4" w:space="0" w:color="auto"/>
              <w:right w:val="single" w:sz="4" w:space="0" w:color="auto"/>
            </w:tcBorders>
            <w:hideMark/>
          </w:tcPr>
          <w:p w14:paraId="5E6A7650"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Protsent põhitegevuse tuludest</w:t>
            </w:r>
          </w:p>
        </w:tc>
        <w:tc>
          <w:tcPr>
            <w:tcW w:w="808" w:type="dxa"/>
            <w:tcBorders>
              <w:top w:val="single" w:sz="4" w:space="0" w:color="auto"/>
              <w:left w:val="single" w:sz="4" w:space="0" w:color="auto"/>
              <w:bottom w:val="single" w:sz="4" w:space="0" w:color="auto"/>
              <w:right w:val="single" w:sz="4" w:space="0" w:color="auto"/>
            </w:tcBorders>
            <w:hideMark/>
          </w:tcPr>
          <w:p w14:paraId="3549BE7E"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60%</w:t>
            </w:r>
          </w:p>
        </w:tc>
        <w:tc>
          <w:tcPr>
            <w:tcW w:w="816" w:type="dxa"/>
            <w:tcBorders>
              <w:top w:val="single" w:sz="4" w:space="0" w:color="auto"/>
              <w:left w:val="single" w:sz="4" w:space="0" w:color="auto"/>
              <w:bottom w:val="single" w:sz="4" w:space="0" w:color="auto"/>
              <w:right w:val="single" w:sz="4" w:space="0" w:color="auto"/>
            </w:tcBorders>
            <w:hideMark/>
          </w:tcPr>
          <w:p w14:paraId="691DC309"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80%</w:t>
            </w:r>
          </w:p>
        </w:tc>
        <w:tc>
          <w:tcPr>
            <w:tcW w:w="718" w:type="dxa"/>
            <w:tcBorders>
              <w:top w:val="single" w:sz="4" w:space="0" w:color="auto"/>
              <w:left w:val="single" w:sz="4" w:space="0" w:color="auto"/>
              <w:bottom w:val="single" w:sz="4" w:space="0" w:color="auto"/>
              <w:right w:val="single" w:sz="4" w:space="0" w:color="auto"/>
            </w:tcBorders>
            <w:hideMark/>
          </w:tcPr>
          <w:p w14:paraId="35D01340"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75%</w:t>
            </w:r>
          </w:p>
        </w:tc>
        <w:tc>
          <w:tcPr>
            <w:tcW w:w="696" w:type="dxa"/>
            <w:tcBorders>
              <w:top w:val="single" w:sz="4" w:space="0" w:color="auto"/>
              <w:left w:val="single" w:sz="4" w:space="0" w:color="auto"/>
              <w:bottom w:val="single" w:sz="4" w:space="0" w:color="auto"/>
              <w:right w:val="single" w:sz="4" w:space="0" w:color="auto"/>
            </w:tcBorders>
            <w:hideMark/>
          </w:tcPr>
          <w:p w14:paraId="0A7F5612"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70%</w:t>
            </w:r>
          </w:p>
        </w:tc>
        <w:tc>
          <w:tcPr>
            <w:tcW w:w="696" w:type="dxa"/>
            <w:tcBorders>
              <w:top w:val="single" w:sz="4" w:space="0" w:color="auto"/>
              <w:left w:val="single" w:sz="4" w:space="0" w:color="auto"/>
              <w:bottom w:val="single" w:sz="4" w:space="0" w:color="auto"/>
              <w:right w:val="single" w:sz="4" w:space="0" w:color="auto"/>
            </w:tcBorders>
            <w:hideMark/>
          </w:tcPr>
          <w:p w14:paraId="52159F85"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65%</w:t>
            </w:r>
          </w:p>
        </w:tc>
        <w:tc>
          <w:tcPr>
            <w:tcW w:w="718" w:type="dxa"/>
            <w:tcBorders>
              <w:top w:val="single" w:sz="4" w:space="0" w:color="auto"/>
              <w:left w:val="single" w:sz="4" w:space="0" w:color="auto"/>
              <w:bottom w:val="single" w:sz="4" w:space="0" w:color="auto"/>
              <w:right w:val="single" w:sz="4" w:space="0" w:color="auto"/>
            </w:tcBorders>
            <w:hideMark/>
          </w:tcPr>
          <w:p w14:paraId="229586E3"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60%</w:t>
            </w:r>
          </w:p>
        </w:tc>
      </w:tr>
    </w:tbl>
    <w:p w14:paraId="297CAEAA" w14:textId="77777777" w:rsidR="00984677" w:rsidRDefault="00984677" w:rsidP="00D35664">
      <w:pPr>
        <w:spacing w:after="0" w:line="240" w:lineRule="auto"/>
        <w:rPr>
          <w:rFonts w:cstheme="minorHAnsi"/>
          <w:sz w:val="24"/>
          <w:szCs w:val="24"/>
        </w:rPr>
      </w:pPr>
    </w:p>
    <w:p w14:paraId="7225C382" w14:textId="19296C56" w:rsidR="00D35664" w:rsidRPr="004462F8" w:rsidRDefault="00D35664" w:rsidP="00D35664">
      <w:pPr>
        <w:spacing w:after="0" w:line="240" w:lineRule="auto"/>
        <w:rPr>
          <w:rFonts w:cstheme="minorHAnsi"/>
          <w:sz w:val="24"/>
          <w:szCs w:val="24"/>
        </w:rPr>
      </w:pPr>
      <w:r w:rsidRPr="004462F8">
        <w:rPr>
          <w:rFonts w:cstheme="minorHAnsi"/>
          <w:sz w:val="24"/>
          <w:szCs w:val="24"/>
        </w:rPr>
        <w:t xml:space="preserve">Näide </w:t>
      </w:r>
      <w:r w:rsidR="00A356B9">
        <w:rPr>
          <w:rFonts w:cstheme="minorHAnsi"/>
          <w:sz w:val="24"/>
          <w:szCs w:val="24"/>
        </w:rPr>
        <w:t xml:space="preserve">4 </w:t>
      </w:r>
      <w:r w:rsidRPr="004462F8">
        <w:rPr>
          <w:rFonts w:cstheme="minorHAnsi"/>
          <w:sz w:val="24"/>
          <w:szCs w:val="24"/>
        </w:rPr>
        <w:t>netovõlakoormuse piirmäära arvutamisest</w:t>
      </w:r>
    </w:p>
    <w:p w14:paraId="049FC8A1" w14:textId="77777777" w:rsidR="00D35664" w:rsidRPr="004462F8" w:rsidRDefault="00D35664" w:rsidP="00D35664">
      <w:pPr>
        <w:spacing w:after="0" w:line="240" w:lineRule="auto"/>
        <w:rPr>
          <w:rFonts w:eastAsia="Calibri" w:cstheme="minorHAnsi"/>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610"/>
        <w:gridCol w:w="2835"/>
      </w:tblGrid>
      <w:tr w:rsidR="00D35664" w:rsidRPr="004462F8" w14:paraId="3FEDC03D" w14:textId="77777777" w:rsidTr="002C288C">
        <w:tc>
          <w:tcPr>
            <w:tcW w:w="1926" w:type="dxa"/>
            <w:tcBorders>
              <w:top w:val="single" w:sz="4" w:space="0" w:color="auto"/>
              <w:left w:val="single" w:sz="4" w:space="0" w:color="auto"/>
              <w:bottom w:val="single" w:sz="4" w:space="0" w:color="auto"/>
              <w:right w:val="single" w:sz="4" w:space="0" w:color="auto"/>
            </w:tcBorders>
          </w:tcPr>
          <w:p w14:paraId="46980E65" w14:textId="77777777" w:rsidR="00D35664" w:rsidRPr="004462F8" w:rsidRDefault="00D35664" w:rsidP="00D2244E">
            <w:pPr>
              <w:spacing w:after="0" w:line="240" w:lineRule="auto"/>
              <w:rPr>
                <w:rFonts w:cstheme="minorHAnsi"/>
                <w:b/>
                <w:sz w:val="24"/>
                <w:szCs w:val="24"/>
              </w:rPr>
            </w:pPr>
          </w:p>
        </w:tc>
        <w:tc>
          <w:tcPr>
            <w:tcW w:w="5445" w:type="dxa"/>
            <w:gridSpan w:val="2"/>
            <w:tcBorders>
              <w:top w:val="single" w:sz="4" w:space="0" w:color="auto"/>
              <w:left w:val="single" w:sz="4" w:space="0" w:color="auto"/>
              <w:bottom w:val="single" w:sz="4" w:space="0" w:color="auto"/>
              <w:right w:val="single" w:sz="4" w:space="0" w:color="auto"/>
            </w:tcBorders>
            <w:hideMark/>
          </w:tcPr>
          <w:p w14:paraId="526D233D" w14:textId="77777777" w:rsidR="00D35664" w:rsidRPr="004462F8" w:rsidRDefault="00D35664" w:rsidP="00D2244E">
            <w:pPr>
              <w:spacing w:after="0" w:line="240" w:lineRule="auto"/>
              <w:jc w:val="center"/>
              <w:rPr>
                <w:rFonts w:cstheme="minorHAnsi"/>
                <w:b/>
                <w:sz w:val="24"/>
                <w:szCs w:val="24"/>
              </w:rPr>
            </w:pPr>
            <w:r w:rsidRPr="004462F8">
              <w:rPr>
                <w:rFonts w:cstheme="minorHAnsi"/>
                <w:b/>
                <w:sz w:val="24"/>
                <w:szCs w:val="24"/>
              </w:rPr>
              <w:t xml:space="preserve">Näide </w:t>
            </w:r>
          </w:p>
        </w:tc>
      </w:tr>
      <w:tr w:rsidR="00D35664" w:rsidRPr="004462F8" w14:paraId="7776450B" w14:textId="77777777" w:rsidTr="002C288C">
        <w:tc>
          <w:tcPr>
            <w:tcW w:w="1926" w:type="dxa"/>
            <w:tcBorders>
              <w:top w:val="single" w:sz="4" w:space="0" w:color="auto"/>
              <w:left w:val="single" w:sz="4" w:space="0" w:color="auto"/>
              <w:bottom w:val="single" w:sz="4" w:space="0" w:color="auto"/>
              <w:right w:val="single" w:sz="4" w:space="0" w:color="auto"/>
            </w:tcBorders>
            <w:hideMark/>
          </w:tcPr>
          <w:p w14:paraId="1EF4BF46" w14:textId="77777777" w:rsidR="00D35664" w:rsidRPr="004462F8" w:rsidRDefault="00D35664" w:rsidP="00D2244E">
            <w:pPr>
              <w:spacing w:after="0" w:line="240" w:lineRule="auto"/>
              <w:rPr>
                <w:rFonts w:cstheme="minorHAnsi"/>
                <w:sz w:val="24"/>
                <w:szCs w:val="24"/>
              </w:rPr>
            </w:pPr>
            <w:r w:rsidRPr="004462F8">
              <w:rPr>
                <w:rFonts w:cstheme="minorHAnsi"/>
                <w:b/>
                <w:sz w:val="24"/>
                <w:szCs w:val="24"/>
              </w:rPr>
              <w:t>Aasta</w:t>
            </w:r>
          </w:p>
        </w:tc>
        <w:tc>
          <w:tcPr>
            <w:tcW w:w="2610" w:type="dxa"/>
            <w:tcBorders>
              <w:top w:val="single" w:sz="4" w:space="0" w:color="auto"/>
              <w:left w:val="single" w:sz="4" w:space="0" w:color="auto"/>
              <w:bottom w:val="single" w:sz="4" w:space="0" w:color="auto"/>
              <w:right w:val="single" w:sz="4" w:space="0" w:color="auto"/>
            </w:tcBorders>
            <w:hideMark/>
          </w:tcPr>
          <w:p w14:paraId="2E5AB57A" w14:textId="77777777" w:rsidR="00D35664" w:rsidRPr="004462F8" w:rsidRDefault="00D35664" w:rsidP="00D2244E">
            <w:pPr>
              <w:spacing w:after="0" w:line="240" w:lineRule="auto"/>
              <w:jc w:val="center"/>
              <w:rPr>
                <w:rFonts w:cstheme="minorHAnsi"/>
                <w:b/>
                <w:sz w:val="24"/>
                <w:szCs w:val="24"/>
              </w:rPr>
            </w:pPr>
            <w:r w:rsidRPr="004462F8">
              <w:rPr>
                <w:rFonts w:cstheme="minorHAnsi"/>
                <w:b/>
                <w:sz w:val="24"/>
                <w:szCs w:val="24"/>
              </w:rPr>
              <w:t>2019</w:t>
            </w:r>
          </w:p>
        </w:tc>
        <w:tc>
          <w:tcPr>
            <w:tcW w:w="2835" w:type="dxa"/>
            <w:tcBorders>
              <w:top w:val="single" w:sz="4" w:space="0" w:color="auto"/>
              <w:left w:val="single" w:sz="4" w:space="0" w:color="auto"/>
              <w:bottom w:val="single" w:sz="4" w:space="0" w:color="auto"/>
              <w:right w:val="single" w:sz="4" w:space="0" w:color="auto"/>
            </w:tcBorders>
            <w:hideMark/>
          </w:tcPr>
          <w:p w14:paraId="68F0C303" w14:textId="77777777" w:rsidR="00D35664" w:rsidRPr="004462F8" w:rsidRDefault="00D35664" w:rsidP="00D2244E">
            <w:pPr>
              <w:spacing w:after="0" w:line="240" w:lineRule="auto"/>
              <w:jc w:val="center"/>
              <w:rPr>
                <w:rFonts w:cstheme="minorHAnsi"/>
                <w:b/>
                <w:sz w:val="24"/>
                <w:szCs w:val="24"/>
              </w:rPr>
            </w:pPr>
            <w:r w:rsidRPr="004462F8">
              <w:rPr>
                <w:rFonts w:cstheme="minorHAnsi"/>
                <w:b/>
                <w:sz w:val="24"/>
                <w:szCs w:val="24"/>
              </w:rPr>
              <w:t>2020</w:t>
            </w:r>
            <w:r w:rsidRPr="004462F8">
              <w:rPr>
                <w:rFonts w:eastAsia="Times New Roman" w:cstheme="minorHAnsi"/>
                <w:sz w:val="24"/>
                <w:szCs w:val="24"/>
                <w:lang w:eastAsia="et-EE"/>
              </w:rPr>
              <w:t>–</w:t>
            </w:r>
            <w:r w:rsidRPr="004462F8">
              <w:rPr>
                <w:rFonts w:cstheme="minorHAnsi"/>
                <w:b/>
                <w:sz w:val="24"/>
                <w:szCs w:val="24"/>
              </w:rPr>
              <w:t>2024</w:t>
            </w:r>
          </w:p>
        </w:tc>
      </w:tr>
      <w:tr w:rsidR="00D35664" w:rsidRPr="004462F8" w14:paraId="66B03F19" w14:textId="77777777" w:rsidTr="002C288C">
        <w:trPr>
          <w:trHeight w:val="298"/>
        </w:trPr>
        <w:tc>
          <w:tcPr>
            <w:tcW w:w="1926" w:type="dxa"/>
            <w:tcBorders>
              <w:top w:val="single" w:sz="4" w:space="0" w:color="auto"/>
              <w:left w:val="single" w:sz="4" w:space="0" w:color="auto"/>
              <w:bottom w:val="single" w:sz="4" w:space="0" w:color="auto"/>
              <w:right w:val="single" w:sz="4" w:space="0" w:color="auto"/>
            </w:tcBorders>
          </w:tcPr>
          <w:p w14:paraId="0F43B9F9"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Põhitegevuse tulu</w:t>
            </w:r>
          </w:p>
        </w:tc>
        <w:tc>
          <w:tcPr>
            <w:tcW w:w="2610" w:type="dxa"/>
            <w:tcBorders>
              <w:top w:val="single" w:sz="4" w:space="0" w:color="auto"/>
              <w:left w:val="single" w:sz="4" w:space="0" w:color="auto"/>
              <w:bottom w:val="single" w:sz="4" w:space="0" w:color="auto"/>
              <w:right w:val="single" w:sz="4" w:space="0" w:color="auto"/>
            </w:tcBorders>
          </w:tcPr>
          <w:p w14:paraId="34424C6A" w14:textId="77777777" w:rsidR="00D35664" w:rsidRPr="004462F8" w:rsidRDefault="00D35664" w:rsidP="00D2244E">
            <w:pPr>
              <w:spacing w:after="0" w:line="240" w:lineRule="auto"/>
              <w:jc w:val="center"/>
              <w:rPr>
                <w:rFonts w:cstheme="minorHAnsi"/>
                <w:sz w:val="24"/>
                <w:szCs w:val="24"/>
              </w:rPr>
            </w:pPr>
            <w:r w:rsidRPr="004462F8">
              <w:rPr>
                <w:rFonts w:cstheme="minorHAnsi"/>
                <w:sz w:val="24"/>
                <w:szCs w:val="24"/>
              </w:rPr>
              <w:t>10 mln</w:t>
            </w:r>
          </w:p>
        </w:tc>
        <w:tc>
          <w:tcPr>
            <w:tcW w:w="2835" w:type="dxa"/>
            <w:tcBorders>
              <w:top w:val="single" w:sz="4" w:space="0" w:color="auto"/>
              <w:left w:val="single" w:sz="4" w:space="0" w:color="auto"/>
              <w:bottom w:val="single" w:sz="4" w:space="0" w:color="auto"/>
              <w:right w:val="single" w:sz="4" w:space="0" w:color="auto"/>
            </w:tcBorders>
          </w:tcPr>
          <w:p w14:paraId="6E7A58DE" w14:textId="77777777" w:rsidR="00D35664" w:rsidRPr="004462F8" w:rsidRDefault="00D35664" w:rsidP="00D2244E">
            <w:pPr>
              <w:spacing w:after="0" w:line="240" w:lineRule="auto"/>
              <w:ind w:left="240"/>
              <w:jc w:val="center"/>
              <w:rPr>
                <w:rFonts w:cstheme="minorHAnsi"/>
                <w:sz w:val="24"/>
                <w:szCs w:val="24"/>
              </w:rPr>
            </w:pPr>
            <w:r w:rsidRPr="004462F8">
              <w:rPr>
                <w:rFonts w:cstheme="minorHAnsi"/>
                <w:sz w:val="24"/>
                <w:szCs w:val="24"/>
              </w:rPr>
              <w:t>12 mln</w:t>
            </w:r>
          </w:p>
        </w:tc>
      </w:tr>
      <w:tr w:rsidR="00D35664" w:rsidRPr="004462F8" w14:paraId="21173FF3" w14:textId="77777777" w:rsidTr="002C288C">
        <w:trPr>
          <w:trHeight w:val="628"/>
        </w:trPr>
        <w:tc>
          <w:tcPr>
            <w:tcW w:w="1926" w:type="dxa"/>
            <w:tcBorders>
              <w:top w:val="single" w:sz="4" w:space="0" w:color="auto"/>
              <w:left w:val="single" w:sz="4" w:space="0" w:color="auto"/>
              <w:bottom w:val="single" w:sz="4" w:space="0" w:color="auto"/>
              <w:right w:val="single" w:sz="4" w:space="0" w:color="auto"/>
            </w:tcBorders>
          </w:tcPr>
          <w:p w14:paraId="12718511"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Põhitegevuse tulem</w:t>
            </w:r>
          </w:p>
        </w:tc>
        <w:tc>
          <w:tcPr>
            <w:tcW w:w="2610" w:type="dxa"/>
            <w:tcBorders>
              <w:top w:val="single" w:sz="4" w:space="0" w:color="auto"/>
              <w:left w:val="single" w:sz="4" w:space="0" w:color="auto"/>
              <w:bottom w:val="single" w:sz="4" w:space="0" w:color="auto"/>
              <w:right w:val="single" w:sz="4" w:space="0" w:color="auto"/>
            </w:tcBorders>
          </w:tcPr>
          <w:p w14:paraId="280A8EA1" w14:textId="77777777" w:rsidR="00D35664" w:rsidRPr="004462F8" w:rsidRDefault="00D35664" w:rsidP="00D2244E">
            <w:pPr>
              <w:spacing w:after="0" w:line="240" w:lineRule="auto"/>
              <w:ind w:left="224"/>
              <w:rPr>
                <w:rFonts w:cstheme="minorHAnsi"/>
                <w:sz w:val="24"/>
                <w:szCs w:val="24"/>
              </w:rPr>
            </w:pPr>
            <w:r w:rsidRPr="004462F8">
              <w:rPr>
                <w:rFonts w:cstheme="minorHAnsi"/>
                <w:sz w:val="24"/>
                <w:szCs w:val="24"/>
              </w:rPr>
              <w:t xml:space="preserve">      1,2 mln</w:t>
            </w:r>
          </w:p>
        </w:tc>
        <w:tc>
          <w:tcPr>
            <w:tcW w:w="2835" w:type="dxa"/>
            <w:tcBorders>
              <w:top w:val="single" w:sz="4" w:space="0" w:color="auto"/>
              <w:left w:val="single" w:sz="4" w:space="0" w:color="auto"/>
              <w:bottom w:val="single" w:sz="4" w:space="0" w:color="auto"/>
              <w:right w:val="single" w:sz="4" w:space="0" w:color="auto"/>
            </w:tcBorders>
          </w:tcPr>
          <w:p w14:paraId="380E8BD5" w14:textId="77777777" w:rsidR="00D35664" w:rsidRPr="004462F8" w:rsidRDefault="00D35664" w:rsidP="00D2244E">
            <w:pPr>
              <w:spacing w:after="0" w:line="240" w:lineRule="auto"/>
              <w:ind w:left="240"/>
              <w:jc w:val="center"/>
              <w:rPr>
                <w:rFonts w:cstheme="minorHAnsi"/>
                <w:sz w:val="24"/>
                <w:szCs w:val="24"/>
              </w:rPr>
            </w:pPr>
            <w:r w:rsidRPr="004462F8">
              <w:rPr>
                <w:rFonts w:cstheme="minorHAnsi"/>
                <w:sz w:val="24"/>
                <w:szCs w:val="24"/>
              </w:rPr>
              <w:t>0,9 mln</w:t>
            </w:r>
          </w:p>
        </w:tc>
      </w:tr>
      <w:tr w:rsidR="00D35664" w:rsidRPr="004462F8" w14:paraId="6A546906" w14:textId="77777777" w:rsidTr="002C288C">
        <w:trPr>
          <w:trHeight w:val="3022"/>
        </w:trPr>
        <w:tc>
          <w:tcPr>
            <w:tcW w:w="1926" w:type="dxa"/>
            <w:tcBorders>
              <w:top w:val="single" w:sz="4" w:space="0" w:color="auto"/>
              <w:left w:val="single" w:sz="4" w:space="0" w:color="auto"/>
              <w:bottom w:val="single" w:sz="4" w:space="0" w:color="auto"/>
              <w:right w:val="single" w:sz="4" w:space="0" w:color="auto"/>
            </w:tcBorders>
            <w:hideMark/>
          </w:tcPr>
          <w:p w14:paraId="13FD1164"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Ülempiiri arvutus</w:t>
            </w:r>
          </w:p>
        </w:tc>
        <w:tc>
          <w:tcPr>
            <w:tcW w:w="2610" w:type="dxa"/>
            <w:tcBorders>
              <w:top w:val="single" w:sz="4" w:space="0" w:color="auto"/>
              <w:left w:val="single" w:sz="4" w:space="0" w:color="auto"/>
              <w:bottom w:val="single" w:sz="4" w:space="0" w:color="auto"/>
              <w:right w:val="single" w:sz="4" w:space="0" w:color="auto"/>
            </w:tcBorders>
          </w:tcPr>
          <w:p w14:paraId="6E90E112" w14:textId="77777777" w:rsidR="00D35664" w:rsidRPr="004462F8" w:rsidRDefault="00D35664" w:rsidP="00D2244E">
            <w:pPr>
              <w:numPr>
                <w:ilvl w:val="0"/>
                <w:numId w:val="2"/>
              </w:numPr>
              <w:spacing w:after="0" w:line="240" w:lineRule="auto"/>
              <w:ind w:left="224" w:hanging="224"/>
              <w:rPr>
                <w:rFonts w:cstheme="minorHAnsi"/>
                <w:sz w:val="24"/>
                <w:szCs w:val="24"/>
              </w:rPr>
            </w:pPr>
            <w:r w:rsidRPr="004462F8">
              <w:rPr>
                <w:rFonts w:cstheme="minorHAnsi"/>
                <w:sz w:val="24"/>
                <w:szCs w:val="24"/>
              </w:rPr>
              <w:t xml:space="preserve">6-kordne põhitegevuse tulem on 6x1,2=7,2 mln; </w:t>
            </w:r>
          </w:p>
          <w:p w14:paraId="47177523" w14:textId="77777777" w:rsidR="00D35664" w:rsidRPr="004462F8" w:rsidRDefault="00D35664" w:rsidP="00D2244E">
            <w:pPr>
              <w:numPr>
                <w:ilvl w:val="0"/>
                <w:numId w:val="2"/>
              </w:numPr>
              <w:spacing w:after="0" w:line="240" w:lineRule="auto"/>
              <w:ind w:left="224" w:hanging="224"/>
              <w:rPr>
                <w:rFonts w:cstheme="minorHAnsi"/>
                <w:sz w:val="24"/>
                <w:szCs w:val="24"/>
              </w:rPr>
            </w:pPr>
            <w:r w:rsidRPr="004462F8">
              <w:rPr>
                <w:rFonts w:cstheme="minorHAnsi"/>
                <w:sz w:val="24"/>
                <w:szCs w:val="24"/>
              </w:rPr>
              <w:t xml:space="preserve">60% põhitegevus-tuludest on 6 mln. </w:t>
            </w:r>
          </w:p>
          <w:p w14:paraId="69F59475" w14:textId="77777777" w:rsidR="00D35664" w:rsidRPr="004462F8" w:rsidRDefault="00D35664" w:rsidP="00D2244E">
            <w:pPr>
              <w:spacing w:after="0" w:line="240" w:lineRule="auto"/>
              <w:rPr>
                <w:rFonts w:cstheme="minorHAnsi"/>
                <w:sz w:val="24"/>
                <w:szCs w:val="24"/>
              </w:rPr>
            </w:pPr>
          </w:p>
          <w:p w14:paraId="6645D2CD" w14:textId="0E0DB885" w:rsidR="00D35664" w:rsidRPr="004462F8" w:rsidRDefault="00D35664" w:rsidP="002C288C">
            <w:pPr>
              <w:spacing w:after="0" w:line="240" w:lineRule="auto"/>
              <w:rPr>
                <w:rFonts w:cstheme="minorHAnsi"/>
                <w:sz w:val="24"/>
                <w:szCs w:val="24"/>
              </w:rPr>
            </w:pPr>
            <w:r w:rsidRPr="004462F8">
              <w:rPr>
                <w:rFonts w:cstheme="minorHAnsi"/>
                <w:sz w:val="24"/>
                <w:szCs w:val="24"/>
              </w:rPr>
              <w:t>Antud juhul on lubatud ülemäär  suurim kahest näitajast ehk 72% (7,2/10).</w:t>
            </w:r>
          </w:p>
        </w:tc>
        <w:tc>
          <w:tcPr>
            <w:tcW w:w="2835" w:type="dxa"/>
            <w:tcBorders>
              <w:top w:val="single" w:sz="4" w:space="0" w:color="auto"/>
              <w:left w:val="single" w:sz="4" w:space="0" w:color="auto"/>
              <w:bottom w:val="single" w:sz="4" w:space="0" w:color="auto"/>
              <w:right w:val="single" w:sz="4" w:space="0" w:color="auto"/>
            </w:tcBorders>
          </w:tcPr>
          <w:p w14:paraId="1FB4DD96" w14:textId="77777777" w:rsidR="00D35664" w:rsidRPr="004462F8" w:rsidRDefault="00D35664" w:rsidP="00D2244E">
            <w:pPr>
              <w:numPr>
                <w:ilvl w:val="0"/>
                <w:numId w:val="2"/>
              </w:numPr>
              <w:spacing w:after="0" w:line="240" w:lineRule="auto"/>
              <w:ind w:left="240" w:hanging="225"/>
              <w:rPr>
                <w:rFonts w:cstheme="minorHAnsi"/>
                <w:sz w:val="24"/>
                <w:szCs w:val="24"/>
              </w:rPr>
            </w:pPr>
            <w:r w:rsidRPr="004462F8">
              <w:rPr>
                <w:rFonts w:cstheme="minorHAnsi"/>
                <w:sz w:val="24"/>
                <w:szCs w:val="24"/>
              </w:rPr>
              <w:t xml:space="preserve">10-kordne põhitegevuse tulem on 10x0,9=9 mln; </w:t>
            </w:r>
          </w:p>
          <w:p w14:paraId="78A59888" w14:textId="77777777" w:rsidR="00D35664" w:rsidRPr="004462F8" w:rsidRDefault="00D35664" w:rsidP="00D2244E">
            <w:pPr>
              <w:numPr>
                <w:ilvl w:val="0"/>
                <w:numId w:val="2"/>
              </w:numPr>
              <w:spacing w:after="0" w:line="240" w:lineRule="auto"/>
              <w:ind w:left="240" w:hanging="225"/>
              <w:rPr>
                <w:rFonts w:cstheme="minorHAnsi"/>
                <w:sz w:val="24"/>
                <w:szCs w:val="24"/>
              </w:rPr>
            </w:pPr>
            <w:r w:rsidRPr="004462F8">
              <w:rPr>
                <w:rFonts w:cstheme="minorHAnsi"/>
                <w:sz w:val="24"/>
                <w:szCs w:val="24"/>
              </w:rPr>
              <w:t xml:space="preserve">80% põhitegevus-tuludest on 9,6 mln. </w:t>
            </w:r>
          </w:p>
          <w:p w14:paraId="03D99FD5" w14:textId="77777777" w:rsidR="00D35664" w:rsidRPr="004462F8" w:rsidRDefault="00D35664" w:rsidP="00D2244E">
            <w:pPr>
              <w:spacing w:after="0" w:line="240" w:lineRule="auto"/>
              <w:ind w:left="720"/>
              <w:rPr>
                <w:rFonts w:cstheme="minorHAnsi"/>
                <w:sz w:val="24"/>
                <w:szCs w:val="24"/>
              </w:rPr>
            </w:pPr>
          </w:p>
          <w:p w14:paraId="4ED55CC2" w14:textId="77777777" w:rsidR="00D35664" w:rsidRPr="004462F8" w:rsidRDefault="00D35664" w:rsidP="00D2244E">
            <w:pPr>
              <w:spacing w:after="0" w:line="240" w:lineRule="auto"/>
              <w:rPr>
                <w:rFonts w:cstheme="minorHAnsi"/>
                <w:sz w:val="24"/>
                <w:szCs w:val="24"/>
              </w:rPr>
            </w:pPr>
            <w:r w:rsidRPr="004462F8">
              <w:rPr>
                <w:rFonts w:cstheme="minorHAnsi"/>
                <w:sz w:val="24"/>
                <w:szCs w:val="24"/>
              </w:rPr>
              <w:t>Antud juhul on lubatud ülemäär on 80%.</w:t>
            </w:r>
          </w:p>
        </w:tc>
      </w:tr>
    </w:tbl>
    <w:p w14:paraId="426A0E0F" w14:textId="77777777" w:rsidR="002C288C" w:rsidRDefault="002C288C" w:rsidP="00D35664">
      <w:pPr>
        <w:spacing w:after="0" w:line="240" w:lineRule="auto"/>
        <w:jc w:val="both"/>
        <w:rPr>
          <w:rFonts w:cstheme="minorHAnsi"/>
          <w:sz w:val="24"/>
          <w:szCs w:val="24"/>
        </w:rPr>
      </w:pPr>
    </w:p>
    <w:p w14:paraId="2006EF17" w14:textId="511F8CD1" w:rsidR="00D35664" w:rsidRPr="004462F8" w:rsidRDefault="00D35664" w:rsidP="00D35664">
      <w:pPr>
        <w:spacing w:after="0" w:line="240" w:lineRule="auto"/>
        <w:jc w:val="both"/>
        <w:rPr>
          <w:rFonts w:cstheme="minorHAnsi"/>
          <w:sz w:val="24"/>
          <w:szCs w:val="24"/>
        </w:rPr>
      </w:pPr>
      <w:r w:rsidRPr="004462F8">
        <w:rPr>
          <w:rFonts w:cstheme="minorHAnsi"/>
          <w:sz w:val="24"/>
          <w:szCs w:val="24"/>
        </w:rPr>
        <w:t xml:space="preserve">Alates 2024. a suurenes käibemaksu määr 2 protsendipunkti. KOVidele tähendab see täiendavat kulu 2024. a ca 16 mln. Seda kulu KOVidele ei kompenseeritud. Seega KOVide suurenenud kulud </w:t>
      </w:r>
      <w:r>
        <w:rPr>
          <w:rFonts w:cstheme="minorHAnsi"/>
          <w:sz w:val="24"/>
          <w:szCs w:val="24"/>
        </w:rPr>
        <w:t>panustavad</w:t>
      </w:r>
      <w:r w:rsidRPr="004462F8">
        <w:rPr>
          <w:rFonts w:cstheme="minorHAnsi"/>
          <w:sz w:val="24"/>
          <w:szCs w:val="24"/>
        </w:rPr>
        <w:t xml:space="preserve"> riigieelarve tulu</w:t>
      </w:r>
      <w:r>
        <w:rPr>
          <w:rFonts w:cstheme="minorHAnsi"/>
          <w:sz w:val="24"/>
          <w:szCs w:val="24"/>
        </w:rPr>
        <w:t xml:space="preserve">desse, parandades </w:t>
      </w:r>
      <w:r w:rsidRPr="004462F8">
        <w:rPr>
          <w:rFonts w:cstheme="minorHAnsi"/>
          <w:sz w:val="24"/>
          <w:szCs w:val="24"/>
        </w:rPr>
        <w:t xml:space="preserve">valitsussektori eelarvepositsiooni.  </w:t>
      </w:r>
    </w:p>
    <w:p w14:paraId="450F1A66" w14:textId="77777777" w:rsidR="00D35664" w:rsidRPr="004462F8" w:rsidRDefault="00D35664" w:rsidP="00D35664">
      <w:pPr>
        <w:spacing w:after="0"/>
        <w:jc w:val="both"/>
        <w:rPr>
          <w:rFonts w:cstheme="minorHAnsi"/>
          <w:color w:val="0070C0"/>
          <w:sz w:val="24"/>
          <w:szCs w:val="24"/>
        </w:rPr>
      </w:pPr>
    </w:p>
    <w:p w14:paraId="6F749B1C" w14:textId="77777777" w:rsidR="00D35664" w:rsidRDefault="00D35664" w:rsidP="00D35664">
      <w:pPr>
        <w:spacing w:after="0" w:line="240" w:lineRule="auto"/>
        <w:jc w:val="both"/>
        <w:rPr>
          <w:rFonts w:cstheme="minorHAnsi"/>
          <w:color w:val="0070C0"/>
          <w:sz w:val="24"/>
          <w:szCs w:val="24"/>
        </w:rPr>
      </w:pPr>
      <w:r w:rsidRPr="004462F8">
        <w:rPr>
          <w:rFonts w:cstheme="minorHAnsi"/>
          <w:color w:val="0070C0"/>
          <w:sz w:val="24"/>
          <w:szCs w:val="24"/>
        </w:rPr>
        <w:t xml:space="preserve">Ettepanek: Kaaluda netovõlakoormuse piirmäära </w:t>
      </w:r>
      <w:r>
        <w:rPr>
          <w:rFonts w:cstheme="minorHAnsi"/>
          <w:color w:val="0070C0"/>
          <w:sz w:val="24"/>
          <w:szCs w:val="24"/>
        </w:rPr>
        <w:t>muutusi</w:t>
      </w:r>
      <w:r w:rsidRPr="004462F8">
        <w:rPr>
          <w:rFonts w:cstheme="minorHAnsi"/>
          <w:color w:val="0070C0"/>
          <w:sz w:val="24"/>
          <w:szCs w:val="24"/>
        </w:rPr>
        <w:t xml:space="preserve"> pärast tulumaksu ümberkorralduste mõjude selgumist 2028. a.</w:t>
      </w:r>
    </w:p>
    <w:p w14:paraId="0610665C" w14:textId="77777777" w:rsidR="00920FA8" w:rsidRDefault="00920FA8" w:rsidP="001B6A2C">
      <w:pPr>
        <w:spacing w:after="0" w:line="240" w:lineRule="auto"/>
        <w:jc w:val="both"/>
        <w:rPr>
          <w:sz w:val="24"/>
          <w:szCs w:val="24"/>
        </w:rPr>
      </w:pPr>
    </w:p>
    <w:sectPr w:rsidR="00920FA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B00BB" w14:textId="77777777" w:rsidR="005464CB" w:rsidRDefault="005464CB" w:rsidP="00820664">
      <w:pPr>
        <w:spacing w:after="0" w:line="240" w:lineRule="auto"/>
      </w:pPr>
      <w:r>
        <w:separator/>
      </w:r>
    </w:p>
  </w:endnote>
  <w:endnote w:type="continuationSeparator" w:id="0">
    <w:p w14:paraId="0922977B" w14:textId="77777777" w:rsidR="005464CB" w:rsidRDefault="005464CB" w:rsidP="00820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687361"/>
      <w:docPartObj>
        <w:docPartGallery w:val="Page Numbers (Bottom of Page)"/>
        <w:docPartUnique/>
      </w:docPartObj>
    </w:sdtPr>
    <w:sdtEndPr/>
    <w:sdtContent>
      <w:p w14:paraId="60C4FBF9" w14:textId="4161DF89" w:rsidR="005C6445" w:rsidRDefault="005C6445">
        <w:pPr>
          <w:pStyle w:val="Footer"/>
          <w:jc w:val="right"/>
        </w:pPr>
        <w:r>
          <w:fldChar w:fldCharType="begin"/>
        </w:r>
        <w:r>
          <w:instrText>PAGE   \* MERGEFORMAT</w:instrText>
        </w:r>
        <w:r>
          <w:fldChar w:fldCharType="separate"/>
        </w:r>
        <w:r>
          <w:t>2</w:t>
        </w:r>
        <w:r>
          <w:fldChar w:fldCharType="end"/>
        </w:r>
      </w:p>
    </w:sdtContent>
  </w:sdt>
  <w:p w14:paraId="62FE0149" w14:textId="77777777" w:rsidR="005C6445" w:rsidRDefault="005C6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35DCC" w14:textId="77777777" w:rsidR="005464CB" w:rsidRDefault="005464CB" w:rsidP="00820664">
      <w:pPr>
        <w:spacing w:after="0" w:line="240" w:lineRule="auto"/>
      </w:pPr>
      <w:r>
        <w:separator/>
      </w:r>
    </w:p>
  </w:footnote>
  <w:footnote w:type="continuationSeparator" w:id="0">
    <w:p w14:paraId="128905F9" w14:textId="77777777" w:rsidR="005464CB" w:rsidRDefault="005464CB" w:rsidP="00820664">
      <w:pPr>
        <w:spacing w:after="0" w:line="240" w:lineRule="auto"/>
      </w:pPr>
      <w:r>
        <w:continuationSeparator/>
      </w:r>
    </w:p>
  </w:footnote>
  <w:footnote w:id="1">
    <w:p w14:paraId="60D2FD25" w14:textId="77777777" w:rsidR="009321C6" w:rsidRPr="0004359B" w:rsidRDefault="009321C6" w:rsidP="009321C6">
      <w:pPr>
        <w:pStyle w:val="FootnoteText"/>
        <w:rPr>
          <w:sz w:val="18"/>
          <w:szCs w:val="18"/>
        </w:rPr>
      </w:pPr>
      <w:r w:rsidRPr="0004359B">
        <w:rPr>
          <w:rStyle w:val="FootnoteReference"/>
          <w:sz w:val="18"/>
          <w:szCs w:val="18"/>
        </w:rPr>
        <w:footnoteRef/>
      </w:r>
      <w:r w:rsidRPr="0004359B">
        <w:rPr>
          <w:sz w:val="18"/>
          <w:szCs w:val="18"/>
        </w:rPr>
        <w:t xml:space="preserve"> Statistikaamet</w:t>
      </w:r>
    </w:p>
  </w:footnote>
  <w:footnote w:id="2">
    <w:p w14:paraId="19466908" w14:textId="77777777" w:rsidR="009321C6" w:rsidRPr="00E82716" w:rsidRDefault="009321C6" w:rsidP="00EB2B54">
      <w:pPr>
        <w:pStyle w:val="FootnoteText"/>
        <w:spacing w:after="0"/>
        <w:rPr>
          <w:sz w:val="18"/>
          <w:szCs w:val="18"/>
        </w:rPr>
      </w:pPr>
      <w:r w:rsidRPr="00E82716">
        <w:rPr>
          <w:rStyle w:val="FootnoteReference"/>
          <w:sz w:val="18"/>
          <w:szCs w:val="18"/>
        </w:rPr>
        <w:footnoteRef/>
      </w:r>
      <w:r w:rsidRPr="00E82716">
        <w:rPr>
          <w:sz w:val="18"/>
          <w:szCs w:val="18"/>
        </w:rPr>
        <w:t xml:space="preserve"> R</w:t>
      </w:r>
      <w:r>
        <w:rPr>
          <w:sz w:val="18"/>
          <w:szCs w:val="18"/>
        </w:rPr>
        <w:t>egionaal- ja Põllumajandusm</w:t>
      </w:r>
      <w:r w:rsidRPr="00E82716">
        <w:rPr>
          <w:sz w:val="18"/>
          <w:szCs w:val="18"/>
        </w:rPr>
        <w:t>i</w:t>
      </w:r>
      <w:r>
        <w:rPr>
          <w:sz w:val="18"/>
          <w:szCs w:val="18"/>
        </w:rPr>
        <w:t>nisteeriumi</w:t>
      </w:r>
      <w:r w:rsidRPr="00E82716">
        <w:rPr>
          <w:sz w:val="18"/>
          <w:szCs w:val="18"/>
        </w:rPr>
        <w:t xml:space="preserve"> regionaalpoliitika programmi tegevus 2.2 üheks mõõdikuks on tasandusfondi mittesaavate KOV-de ja tasandusfondi saavate KOV-de põhitulu (tulumaks, maamaks ja tasandusfond) elaniku kohta erinevus. Näitaja on perioodil 2018–2020 püsinud 1,22 peal ning sihttasemeks on soovitud, et see väheneks 1,2-le. Kuid Rahandusministeeriumi värskemad andmed näitavad, et 2021. aastast </w:t>
      </w:r>
      <w:r>
        <w:rPr>
          <w:sz w:val="18"/>
          <w:szCs w:val="18"/>
        </w:rPr>
        <w:t xml:space="preserve">on </w:t>
      </w:r>
      <w:r w:rsidRPr="00E82716">
        <w:rPr>
          <w:sz w:val="18"/>
          <w:szCs w:val="18"/>
        </w:rPr>
        <w:t xml:space="preserve">hakanud näitaja kasvama ning 2022. aastal jõudnud juba tasemele 1,27. Seega tulukuse erinevused tulukamate ja vähem tulukamate KOV-de vahel on hüppeliselt kasvanud. </w:t>
      </w:r>
      <w:hyperlink r:id="rId1" w:history="1">
        <w:r w:rsidRPr="00E82716">
          <w:rPr>
            <w:rStyle w:val="Hyperlink"/>
            <w:sz w:val="18"/>
            <w:szCs w:val="18"/>
          </w:rPr>
          <w:t>https://www.fin.ee/media/6986/download</w:t>
        </w:r>
      </w:hyperlink>
      <w:r w:rsidRPr="00E82716">
        <w:rPr>
          <w:sz w:val="18"/>
          <w:szCs w:val="18"/>
        </w:rPr>
        <w:t xml:space="preserve"> </w:t>
      </w:r>
    </w:p>
  </w:footnote>
  <w:footnote w:id="3">
    <w:p w14:paraId="3D3823A9" w14:textId="77777777" w:rsidR="009321C6" w:rsidRPr="00E82716" w:rsidRDefault="009321C6" w:rsidP="00EB2B54">
      <w:pPr>
        <w:pStyle w:val="FootnoteText"/>
        <w:spacing w:after="0"/>
        <w:rPr>
          <w:sz w:val="18"/>
          <w:szCs w:val="18"/>
        </w:rPr>
      </w:pPr>
      <w:r w:rsidRPr="00E82716">
        <w:rPr>
          <w:rStyle w:val="FootnoteReference"/>
          <w:sz w:val="18"/>
          <w:szCs w:val="18"/>
        </w:rPr>
        <w:footnoteRef/>
      </w:r>
      <w:r w:rsidRPr="00E82716">
        <w:rPr>
          <w:sz w:val="18"/>
          <w:szCs w:val="18"/>
        </w:rPr>
        <w:t xml:space="preserve"> Vt minuomavalitsus.ee</w:t>
      </w:r>
    </w:p>
  </w:footnote>
  <w:footnote w:id="4">
    <w:p w14:paraId="2DBCD660" w14:textId="77777777" w:rsidR="009321C6" w:rsidRPr="00E82716" w:rsidRDefault="009321C6" w:rsidP="00EB2B54">
      <w:pPr>
        <w:pStyle w:val="FootnoteText"/>
        <w:spacing w:after="0"/>
        <w:rPr>
          <w:sz w:val="18"/>
          <w:szCs w:val="18"/>
        </w:rPr>
      </w:pPr>
      <w:r w:rsidRPr="00E82716">
        <w:rPr>
          <w:rStyle w:val="FootnoteReference"/>
          <w:sz w:val="18"/>
          <w:szCs w:val="18"/>
        </w:rPr>
        <w:footnoteRef/>
      </w:r>
      <w:r w:rsidRPr="00E82716">
        <w:rPr>
          <w:sz w:val="18"/>
          <w:szCs w:val="18"/>
        </w:rPr>
        <w:t xml:space="preserve"> Vt </w:t>
      </w:r>
      <w:hyperlink r:id="rId2" w:history="1">
        <w:r w:rsidRPr="00E82716">
          <w:rPr>
            <w:rStyle w:val="Hyperlink"/>
            <w:sz w:val="18"/>
            <w:szCs w:val="18"/>
          </w:rPr>
          <w:t>https://minuomavalitsus.ee/omavalitsuste-finantsolukorra-indeks</w:t>
        </w:r>
      </w:hyperlink>
    </w:p>
  </w:footnote>
  <w:footnote w:id="5">
    <w:p w14:paraId="4078DB65" w14:textId="77777777" w:rsidR="009321C6" w:rsidRDefault="009321C6" w:rsidP="00EB2B54">
      <w:pPr>
        <w:pStyle w:val="FootnoteText"/>
        <w:spacing w:after="0"/>
      </w:pPr>
      <w:r>
        <w:rPr>
          <w:rStyle w:val="FootnoteReference"/>
        </w:rPr>
        <w:footnoteRef/>
      </w:r>
      <w:r>
        <w:t xml:space="preserve"> </w:t>
      </w:r>
      <w:r w:rsidRPr="0010679F">
        <w:t>https://minuomavalitsus.ee/</w:t>
      </w:r>
    </w:p>
  </w:footnote>
  <w:footnote w:id="6">
    <w:p w14:paraId="77858635" w14:textId="77777777" w:rsidR="009321C6" w:rsidRDefault="009321C6" w:rsidP="00EB2B54">
      <w:pPr>
        <w:pStyle w:val="FootnoteText"/>
        <w:spacing w:after="0"/>
      </w:pPr>
      <w:r>
        <w:rPr>
          <w:rStyle w:val="FootnoteReference"/>
        </w:rPr>
        <w:footnoteRef/>
      </w:r>
      <w:r>
        <w:t xml:space="preserve"> </w:t>
      </w:r>
      <w:r w:rsidRPr="0010679F">
        <w:t>https://minuomavalitsus.ee/omavalitsuste-finantsolukorra-indeks</w:t>
      </w:r>
    </w:p>
  </w:footnote>
  <w:footnote w:id="7">
    <w:p w14:paraId="587A9B42" w14:textId="77777777" w:rsidR="009321C6" w:rsidRPr="00204241" w:rsidRDefault="009321C6" w:rsidP="00EB2B54">
      <w:pPr>
        <w:pStyle w:val="FootnoteText"/>
        <w:spacing w:after="0"/>
      </w:pPr>
      <w:r>
        <w:rPr>
          <w:rStyle w:val="FootnoteReference"/>
        </w:rPr>
        <w:footnoteRef/>
      </w:r>
      <w:r>
        <w:t xml:space="preserve"> </w:t>
      </w:r>
      <w:r w:rsidRPr="00204241">
        <w:t xml:space="preserve">Põhitulud: tulumaks, maamaks, tasandusfond (tasanduse osa). Eesmärk on, et tasandusfondi mittesaajate ja tasandusfondi saajate vahe ei lähe liiga suureks. Rahvusvaheliselt on 1,2 kordne erinevus aktsepteeritav </w:t>
      </w:r>
    </w:p>
    <w:p w14:paraId="72A3247D" w14:textId="77777777" w:rsidR="009321C6" w:rsidRDefault="009321C6" w:rsidP="009321C6">
      <w:pPr>
        <w:pStyle w:val="FootnoteText"/>
      </w:pPr>
    </w:p>
  </w:footnote>
  <w:footnote w:id="8">
    <w:p w14:paraId="77BBD6BA" w14:textId="77777777" w:rsidR="009321C6" w:rsidRPr="003679A7" w:rsidRDefault="009321C6" w:rsidP="00EB2B54">
      <w:pPr>
        <w:pStyle w:val="FootnoteText"/>
        <w:spacing w:after="0"/>
        <w:rPr>
          <w:sz w:val="18"/>
          <w:szCs w:val="18"/>
        </w:rPr>
      </w:pPr>
      <w:r w:rsidRPr="003679A7">
        <w:rPr>
          <w:rStyle w:val="FootnoteReference"/>
          <w:sz w:val="18"/>
          <w:szCs w:val="18"/>
        </w:rPr>
        <w:footnoteRef/>
      </w:r>
      <w:r w:rsidRPr="003679A7">
        <w:rPr>
          <w:sz w:val="18"/>
          <w:szCs w:val="18"/>
        </w:rPr>
        <w:t xml:space="preserve"> Riigikohtu 16. märts 2010. a otsus nr </w:t>
      </w:r>
      <w:hyperlink r:id="rId3" w:history="1">
        <w:r w:rsidRPr="003679A7">
          <w:rPr>
            <w:sz w:val="18"/>
            <w:szCs w:val="18"/>
          </w:rPr>
          <w:t>3-4-1-8-09</w:t>
        </w:r>
      </w:hyperlink>
    </w:p>
  </w:footnote>
  <w:footnote w:id="9">
    <w:p w14:paraId="7C299F91" w14:textId="77777777" w:rsidR="009321C6" w:rsidRPr="00643F90" w:rsidRDefault="009321C6" w:rsidP="00EB2B54">
      <w:pPr>
        <w:pStyle w:val="FootnoteText"/>
        <w:spacing w:after="0"/>
        <w:rPr>
          <w:rFonts w:cs="Calibri"/>
          <w:sz w:val="18"/>
          <w:szCs w:val="18"/>
        </w:rPr>
      </w:pPr>
      <w:r w:rsidRPr="00643F90">
        <w:rPr>
          <w:rStyle w:val="FootnoteReference"/>
          <w:rFonts w:cs="Calibri"/>
          <w:sz w:val="18"/>
          <w:szCs w:val="18"/>
        </w:rPr>
        <w:footnoteRef/>
      </w:r>
      <w:r w:rsidRPr="00643F90">
        <w:rPr>
          <w:rFonts w:cs="Calibri"/>
          <w:sz w:val="18"/>
          <w:szCs w:val="18"/>
        </w:rPr>
        <w:t xml:space="preserve"> Tulumaks ja maamaks</w:t>
      </w:r>
    </w:p>
  </w:footnote>
  <w:footnote w:id="10">
    <w:p w14:paraId="63DB8392" w14:textId="77777777" w:rsidR="009321C6" w:rsidRPr="00643F90" w:rsidRDefault="009321C6" w:rsidP="00EB2B54">
      <w:pPr>
        <w:spacing w:after="0" w:line="240" w:lineRule="auto"/>
        <w:rPr>
          <w:sz w:val="18"/>
          <w:szCs w:val="18"/>
        </w:rPr>
      </w:pPr>
      <w:r w:rsidRPr="00643F90">
        <w:rPr>
          <w:rStyle w:val="FootnoteReference"/>
          <w:rFonts w:ascii="Calibri" w:hAnsi="Calibri" w:cs="Calibri"/>
          <w:sz w:val="18"/>
          <w:szCs w:val="18"/>
        </w:rPr>
        <w:footnoteRef/>
      </w:r>
      <w:r w:rsidRPr="00643F90">
        <w:rPr>
          <w:rFonts w:ascii="Calibri" w:hAnsi="Calibri" w:cs="Calibri"/>
          <w:sz w:val="18"/>
          <w:szCs w:val="18"/>
        </w:rPr>
        <w:t xml:space="preserve"> Tasandusfondis arvestatakse välja KOV-ide ühtlustatud kuluvajadus, võttes arvesse tema demograafilist koosseisu, hajaasustust ning muid tegureid. Võrreldes KOV tulusid (tulumaks, maamaks) kuluvajadusega, arvestatakse välja tasandusfondi suurus, </w:t>
      </w:r>
      <w:r>
        <w:rPr>
          <w:rFonts w:ascii="Calibri" w:hAnsi="Calibri" w:cs="Calibri"/>
          <w:sz w:val="18"/>
          <w:szCs w:val="18"/>
        </w:rPr>
        <w:t xml:space="preserve">mis </w:t>
      </w:r>
      <w:r w:rsidRPr="00643F90">
        <w:rPr>
          <w:rFonts w:ascii="Calibri" w:hAnsi="Calibri" w:cs="Calibri"/>
          <w:sz w:val="18"/>
          <w:szCs w:val="18"/>
        </w:rPr>
        <w:t>võimaldab ühtlasi hinnata tulukuse erinevusi.</w:t>
      </w:r>
    </w:p>
  </w:footnote>
  <w:footnote w:id="11">
    <w:p w14:paraId="5E97AD7A" w14:textId="77777777" w:rsidR="000B41E5" w:rsidRDefault="000B41E5" w:rsidP="00050DA1">
      <w:pPr>
        <w:pStyle w:val="FootnoteText"/>
        <w:spacing w:after="0"/>
      </w:pPr>
      <w:r>
        <w:rPr>
          <w:rStyle w:val="FootnoteReference"/>
        </w:rPr>
        <w:footnoteRef/>
      </w:r>
      <w:r>
        <w:t xml:space="preserve"> riigiraha.fin.ee</w:t>
      </w:r>
    </w:p>
  </w:footnote>
  <w:footnote w:id="12">
    <w:p w14:paraId="7BE716F4" w14:textId="77777777" w:rsidR="000B41E5" w:rsidRPr="0022481C" w:rsidRDefault="000B41E5" w:rsidP="00050DA1">
      <w:pPr>
        <w:pStyle w:val="FootnoteText"/>
        <w:spacing w:after="0"/>
        <w:rPr>
          <w:sz w:val="18"/>
          <w:szCs w:val="18"/>
        </w:rPr>
      </w:pPr>
      <w:r w:rsidRPr="00643F90">
        <w:rPr>
          <w:rStyle w:val="FootnoteReference"/>
          <w:sz w:val="18"/>
          <w:szCs w:val="18"/>
        </w:rPr>
        <w:footnoteRef/>
      </w:r>
      <w:r w:rsidRPr="00643F90">
        <w:rPr>
          <w:sz w:val="18"/>
          <w:szCs w:val="18"/>
        </w:rPr>
        <w:t xml:space="preserve"> Keskmine pensioni väljamakse erines 2022. aastal näiteks Viimsi ja Narva vahel 1,2 korda, samas muud tulud (peamiselt töötasu) 1,9 korda.</w:t>
      </w:r>
    </w:p>
  </w:footnote>
  <w:footnote w:id="13">
    <w:p w14:paraId="6B689596" w14:textId="77777777" w:rsidR="000B41E5" w:rsidRDefault="000B41E5" w:rsidP="000B41E5">
      <w:pPr>
        <w:pStyle w:val="FootnoteText"/>
      </w:pPr>
      <w:r>
        <w:rPr>
          <w:rStyle w:val="FootnoteReference"/>
        </w:rPr>
        <w:footnoteRef/>
      </w:r>
      <w:r>
        <w:t xml:space="preserve"> </w:t>
      </w:r>
      <w:r w:rsidRPr="003C1376">
        <w:rPr>
          <w:sz w:val="18"/>
          <w:szCs w:val="18"/>
        </w:rPr>
        <w:t xml:space="preserve">Harjumaa KOV-ide tulumaks on kasvanud perioodil 2012 - 2022. a 2,5 korda ja ülejäänud Eesti KOVidel 2,1 korda. </w:t>
      </w:r>
    </w:p>
  </w:footnote>
  <w:footnote w:id="14">
    <w:p w14:paraId="263F7A94" w14:textId="77777777" w:rsidR="000B41E5" w:rsidRPr="00643F90" w:rsidRDefault="000B41E5" w:rsidP="000B41E5">
      <w:pPr>
        <w:spacing w:after="0" w:line="240" w:lineRule="auto"/>
        <w:rPr>
          <w:sz w:val="18"/>
          <w:szCs w:val="18"/>
        </w:rPr>
      </w:pPr>
      <w:r w:rsidRPr="00643F90">
        <w:rPr>
          <w:rStyle w:val="FootnoteReference"/>
          <w:rFonts w:ascii="Calibri" w:hAnsi="Calibri" w:cs="Calibri"/>
          <w:sz w:val="18"/>
          <w:szCs w:val="18"/>
        </w:rPr>
        <w:footnoteRef/>
      </w:r>
      <w:r w:rsidRPr="00643F90">
        <w:rPr>
          <w:rFonts w:ascii="Calibri" w:hAnsi="Calibri" w:cs="Calibri"/>
          <w:sz w:val="18"/>
          <w:szCs w:val="18"/>
        </w:rPr>
        <w:t xml:space="preserve"> Tasandusfondis arvestatakse välja KOV-ide ühtlustatud kuluvajadus, võttes arvesse demograafilist koosseisu, hajaasustust ning muid tegureid. Võrreldes KOV tulusid (tulumaks, maamaks, tasandusfond) kuluvajadusega, arvestatakse välja tasandusfondi suurus</w:t>
      </w:r>
      <w:r>
        <w:rPr>
          <w:rFonts w:ascii="Calibri" w:hAnsi="Calibri" w:cs="Calibri"/>
          <w:sz w:val="18"/>
          <w:szCs w:val="18"/>
        </w:rPr>
        <w:t>.</w:t>
      </w:r>
      <w:r w:rsidRPr="00643F90">
        <w:rPr>
          <w:rFonts w:ascii="Calibri" w:hAnsi="Calibri" w:cs="Calibri"/>
          <w:sz w:val="18"/>
          <w:szCs w:val="18"/>
        </w:rPr>
        <w:t xml:space="preserve"> </w:t>
      </w:r>
      <w:r>
        <w:rPr>
          <w:rFonts w:ascii="Calibri" w:hAnsi="Calibri" w:cs="Calibri"/>
          <w:sz w:val="18"/>
          <w:szCs w:val="18"/>
        </w:rPr>
        <w:t>S</w:t>
      </w:r>
      <w:r w:rsidRPr="00643F90">
        <w:rPr>
          <w:rFonts w:ascii="Calibri" w:hAnsi="Calibri" w:cs="Calibri"/>
          <w:sz w:val="18"/>
          <w:szCs w:val="18"/>
        </w:rPr>
        <w:t>ee võimaldab ühtlasi hinnata tulukuse erinevusi.</w:t>
      </w:r>
    </w:p>
  </w:footnote>
  <w:footnote w:id="15">
    <w:p w14:paraId="287C1427" w14:textId="77777777" w:rsidR="001B6A2C" w:rsidRDefault="001B6A2C" w:rsidP="007B1E02">
      <w:pPr>
        <w:pStyle w:val="FootnoteText"/>
        <w:spacing w:after="0"/>
        <w:rPr>
          <w:rFonts w:cs="Calibri"/>
          <w:sz w:val="18"/>
          <w:szCs w:val="18"/>
        </w:rPr>
      </w:pPr>
      <w:r>
        <w:rPr>
          <w:rStyle w:val="FootnoteReference"/>
          <w:rFonts w:cs="Calibri"/>
          <w:sz w:val="18"/>
          <w:szCs w:val="18"/>
        </w:rPr>
        <w:footnoteRef/>
      </w:r>
      <w:r>
        <w:rPr>
          <w:rFonts w:cs="Calibri"/>
          <w:sz w:val="18"/>
          <w:szCs w:val="18"/>
        </w:rPr>
        <w:t xml:space="preserve"> https://maaamet.ee/maatoimingud-maakataster/maa-hindamine-ja-tehingud/2022-aasta-maa-korraline-hindamine</w:t>
      </w:r>
    </w:p>
  </w:footnote>
  <w:footnote w:id="16">
    <w:p w14:paraId="3B1DED64" w14:textId="77777777" w:rsidR="001B6A2C" w:rsidRDefault="001B6A2C" w:rsidP="007B1E02">
      <w:pPr>
        <w:pStyle w:val="FootnoteText"/>
        <w:spacing w:after="0"/>
        <w:rPr>
          <w:rFonts w:cs="Calibri"/>
          <w:sz w:val="18"/>
          <w:szCs w:val="18"/>
        </w:rPr>
      </w:pPr>
      <w:r>
        <w:rPr>
          <w:rStyle w:val="FootnoteReference"/>
          <w:rFonts w:cs="Calibri"/>
          <w:sz w:val="18"/>
          <w:szCs w:val="18"/>
        </w:rPr>
        <w:footnoteRef/>
      </w:r>
      <w:r>
        <w:rPr>
          <w:rFonts w:cs="Calibri"/>
          <w:sz w:val="18"/>
          <w:szCs w:val="18"/>
        </w:rPr>
        <w:t xml:space="preserve"> </w:t>
      </w:r>
      <w:r>
        <w:rPr>
          <w:rFonts w:cs="Calibri"/>
          <w:color w:val="202020"/>
          <w:sz w:val="18"/>
          <w:szCs w:val="18"/>
          <w:shd w:val="clear" w:color="auto" w:fill="FFFFFF"/>
        </w:rPr>
        <w:t>Elamumaale ja maatulundusmaa õuemaa kõlvikule 0,1–0,5%, ülejäänud maatulundusmaa 0,1–0,5% ja kõik muu sihtotstarbega maad 0,1-1,0% maamaksustamishinnast.</w:t>
      </w:r>
    </w:p>
  </w:footnote>
  <w:footnote w:id="17">
    <w:p w14:paraId="0628EB46" w14:textId="77777777" w:rsidR="001B6A2C" w:rsidRDefault="001B6A2C" w:rsidP="007B1E02">
      <w:pPr>
        <w:pStyle w:val="FootnoteText"/>
        <w:spacing w:after="0"/>
      </w:pPr>
      <w:r>
        <w:rPr>
          <w:rStyle w:val="FootnoteReference"/>
        </w:rPr>
        <w:footnoteRef/>
      </w:r>
      <w:r>
        <w:t xml:space="preserve"> </w:t>
      </w:r>
      <w:r w:rsidRPr="00B04557">
        <w:rPr>
          <w:sz w:val="18"/>
          <w:szCs w:val="18"/>
        </w:rPr>
        <w:t>Elamumaa tiheasustuse alal 0.15 ha või õuealakõlvik hajaasustuse alas 2,0 ha. Lisaks peab eluruumi omanik olema sinna rahvastikuregistris elukoha registreerinud.</w:t>
      </w:r>
    </w:p>
  </w:footnote>
  <w:footnote w:id="18">
    <w:p w14:paraId="6AD69D04" w14:textId="77777777" w:rsidR="001B6A2C" w:rsidRDefault="001B6A2C" w:rsidP="007B1E02">
      <w:pPr>
        <w:pStyle w:val="FootnoteText"/>
        <w:spacing w:after="0"/>
      </w:pPr>
      <w:r>
        <w:rPr>
          <w:rStyle w:val="FootnoteReference"/>
        </w:rPr>
        <w:footnoteRef/>
      </w:r>
      <w:r>
        <w:t xml:space="preserve"> </w:t>
      </w:r>
      <w:r w:rsidRPr="00B04557">
        <w:rPr>
          <w:sz w:val="18"/>
          <w:szCs w:val="18"/>
        </w:rPr>
        <w:t>Enamik koduomanike maksuvabastus on 5-20 EUR. Osadel juhtudel on maksuvabastuse suurus 2000 – 4000 eurot.</w:t>
      </w:r>
    </w:p>
  </w:footnote>
  <w:footnote w:id="19">
    <w:p w14:paraId="03D33052" w14:textId="77777777" w:rsidR="00A00CAA" w:rsidRDefault="00A00CAA" w:rsidP="00A00CAA">
      <w:pPr>
        <w:pStyle w:val="FootnoteText"/>
        <w:spacing w:after="0"/>
      </w:pPr>
      <w:r w:rsidRPr="00C65009">
        <w:rPr>
          <w:rStyle w:val="FootnoteReference"/>
          <w:sz w:val="18"/>
          <w:szCs w:val="18"/>
        </w:rPr>
        <w:footnoteRef/>
      </w:r>
      <w:r w:rsidRPr="00C65009">
        <w:rPr>
          <w:sz w:val="18"/>
          <w:szCs w:val="18"/>
        </w:rPr>
        <w:t xml:space="preserve"> </w:t>
      </w:r>
      <w:r w:rsidRPr="00A233B1">
        <w:rPr>
          <w:rFonts w:cs="Calibri"/>
          <w:sz w:val="18"/>
          <w:szCs w:val="18"/>
        </w:rPr>
        <w:t>Making Decentralization Work – a Handbook for Policy-Makers. OECD 2019</w:t>
      </w:r>
    </w:p>
  </w:footnote>
  <w:footnote w:id="20">
    <w:p w14:paraId="57F16120" w14:textId="77777777" w:rsidR="00A00CAA" w:rsidRPr="00CE1CAB" w:rsidRDefault="00A00CAA" w:rsidP="00A00CAA">
      <w:pPr>
        <w:pStyle w:val="FootnoteText"/>
        <w:spacing w:after="0"/>
        <w:rPr>
          <w:rFonts w:ascii="Arial" w:hAnsi="Arial" w:cs="Arial"/>
          <w:lang w:val="ibb-NG"/>
        </w:rPr>
      </w:pPr>
      <w:r w:rsidRPr="00CE1CAB">
        <w:rPr>
          <w:rStyle w:val="FootnoteReference"/>
          <w:rFonts w:ascii="Arial" w:hAnsi="Arial" w:cs="Arial"/>
          <w:lang w:val="ibb-NG"/>
        </w:rPr>
        <w:footnoteRef/>
      </w:r>
      <w:r w:rsidRPr="00CE1CAB">
        <w:rPr>
          <w:rFonts w:ascii="Arial" w:hAnsi="Arial" w:cs="Arial"/>
          <w:lang w:val="ibb-NG"/>
        </w:rPr>
        <w:t xml:space="preserve"> </w:t>
      </w:r>
      <w:r w:rsidRPr="00494A18">
        <w:rPr>
          <w:sz w:val="18"/>
          <w:szCs w:val="18"/>
        </w:rPr>
        <w:t>Riigikontrolli ülevaade „Kohalike omavalitsuste rahastamine“, 2017</w:t>
      </w:r>
      <w:r w:rsidRPr="00CE1CAB">
        <w:rPr>
          <w:rFonts w:ascii="Arial" w:hAnsi="Arial" w:cs="Arial"/>
          <w:lang w:val="ibb-NG"/>
        </w:rPr>
        <w:t xml:space="preserve"> </w:t>
      </w:r>
    </w:p>
  </w:footnote>
  <w:footnote w:id="21">
    <w:p w14:paraId="676F7C21" w14:textId="77777777" w:rsidR="00D35664" w:rsidRDefault="00D35664" w:rsidP="00D35664">
      <w:pPr>
        <w:pStyle w:val="FootnoteText"/>
        <w:spacing w:after="0" w:line="240" w:lineRule="auto"/>
      </w:pPr>
      <w:r>
        <w:rPr>
          <w:rStyle w:val="FootnoteReference"/>
        </w:rPr>
        <w:footnoteRef/>
      </w:r>
      <w:r>
        <w:t xml:space="preserve"> Olenemata arvutuse tulemusest ei tohi ülemmäär ületada põhitegevuse tulude mahtu.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C8F"/>
    <w:multiLevelType w:val="hybridMultilevel"/>
    <w:tmpl w:val="BD68C394"/>
    <w:lvl w:ilvl="0" w:tplc="69160A9E">
      <w:start w:val="9"/>
      <w:numFmt w:val="bullet"/>
      <w:lvlText w:val="-"/>
      <w:lvlJc w:val="left"/>
      <w:pPr>
        <w:ind w:left="360" w:hanging="360"/>
      </w:pPr>
      <w:rPr>
        <w:rFonts w:ascii="Calibri" w:eastAsia="Calibri" w:hAnsi="Calibri" w:cs="Calibri"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start w:val="1"/>
      <w:numFmt w:val="bullet"/>
      <w:lvlText w:val=""/>
      <w:lvlJc w:val="left"/>
      <w:pPr>
        <w:ind w:left="2520" w:hanging="360"/>
      </w:pPr>
      <w:rPr>
        <w:rFonts w:ascii="Symbol" w:hAnsi="Symbol" w:hint="default"/>
      </w:rPr>
    </w:lvl>
    <w:lvl w:ilvl="4" w:tplc="04250003">
      <w:start w:val="1"/>
      <w:numFmt w:val="bullet"/>
      <w:lvlText w:val="o"/>
      <w:lvlJc w:val="left"/>
      <w:pPr>
        <w:ind w:left="3240" w:hanging="360"/>
      </w:pPr>
      <w:rPr>
        <w:rFonts w:ascii="Courier New" w:hAnsi="Courier New" w:cs="Courier New" w:hint="default"/>
      </w:rPr>
    </w:lvl>
    <w:lvl w:ilvl="5" w:tplc="04250005">
      <w:start w:val="1"/>
      <w:numFmt w:val="bullet"/>
      <w:lvlText w:val=""/>
      <w:lvlJc w:val="left"/>
      <w:pPr>
        <w:ind w:left="3960" w:hanging="360"/>
      </w:pPr>
      <w:rPr>
        <w:rFonts w:ascii="Wingdings" w:hAnsi="Wingdings" w:hint="default"/>
      </w:rPr>
    </w:lvl>
    <w:lvl w:ilvl="6" w:tplc="04250001">
      <w:start w:val="1"/>
      <w:numFmt w:val="bullet"/>
      <w:lvlText w:val=""/>
      <w:lvlJc w:val="left"/>
      <w:pPr>
        <w:ind w:left="4680" w:hanging="360"/>
      </w:pPr>
      <w:rPr>
        <w:rFonts w:ascii="Symbol" w:hAnsi="Symbol" w:hint="default"/>
      </w:rPr>
    </w:lvl>
    <w:lvl w:ilvl="7" w:tplc="04250003">
      <w:start w:val="1"/>
      <w:numFmt w:val="bullet"/>
      <w:lvlText w:val="o"/>
      <w:lvlJc w:val="left"/>
      <w:pPr>
        <w:ind w:left="5400" w:hanging="360"/>
      </w:pPr>
      <w:rPr>
        <w:rFonts w:ascii="Courier New" w:hAnsi="Courier New" w:cs="Courier New" w:hint="default"/>
      </w:rPr>
    </w:lvl>
    <w:lvl w:ilvl="8" w:tplc="04250005">
      <w:start w:val="1"/>
      <w:numFmt w:val="bullet"/>
      <w:lvlText w:val=""/>
      <w:lvlJc w:val="left"/>
      <w:pPr>
        <w:ind w:left="6120" w:hanging="360"/>
      </w:pPr>
      <w:rPr>
        <w:rFonts w:ascii="Wingdings" w:hAnsi="Wingdings" w:hint="default"/>
      </w:rPr>
    </w:lvl>
  </w:abstractNum>
  <w:abstractNum w:abstractNumId="1" w15:restartNumberingAfterBreak="0">
    <w:nsid w:val="065F0BAC"/>
    <w:multiLevelType w:val="hybridMultilevel"/>
    <w:tmpl w:val="C734BE78"/>
    <w:lvl w:ilvl="0" w:tplc="0425000F">
      <w:start w:val="3"/>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15:restartNumberingAfterBreak="0">
    <w:nsid w:val="095A6B22"/>
    <w:multiLevelType w:val="hybridMultilevel"/>
    <w:tmpl w:val="9AB6AACA"/>
    <w:lvl w:ilvl="0" w:tplc="B19A0A66">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E11CE0"/>
    <w:multiLevelType w:val="hybridMultilevel"/>
    <w:tmpl w:val="D2D8298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29F84103"/>
    <w:multiLevelType w:val="hybridMultilevel"/>
    <w:tmpl w:val="288036F8"/>
    <w:lvl w:ilvl="0" w:tplc="042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D418C6"/>
    <w:multiLevelType w:val="hybridMultilevel"/>
    <w:tmpl w:val="3752A834"/>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393E382E"/>
    <w:multiLevelType w:val="hybridMultilevel"/>
    <w:tmpl w:val="EC343DD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3F3A53E0"/>
    <w:multiLevelType w:val="hybridMultilevel"/>
    <w:tmpl w:val="1708DDB6"/>
    <w:lvl w:ilvl="0" w:tplc="14F2D528">
      <w:start w:val="4"/>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CD05451"/>
    <w:multiLevelType w:val="hybridMultilevel"/>
    <w:tmpl w:val="249CF5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CD521F8"/>
    <w:multiLevelType w:val="hybridMultilevel"/>
    <w:tmpl w:val="31CCED8E"/>
    <w:lvl w:ilvl="0" w:tplc="18BE95A4">
      <w:start w:val="3"/>
      <w:numFmt w:val="bullet"/>
      <w:lvlText w:val="-"/>
      <w:lvlJc w:val="left"/>
      <w:pPr>
        <w:ind w:left="720" w:hanging="360"/>
      </w:pPr>
      <w:rPr>
        <w:rFonts w:ascii="Times New Roman" w:eastAsia="Calibri"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62226B71"/>
    <w:multiLevelType w:val="hybridMultilevel"/>
    <w:tmpl w:val="3362C8AA"/>
    <w:lvl w:ilvl="0" w:tplc="0425000F">
      <w:start w:val="9"/>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1" w15:restartNumberingAfterBreak="0">
    <w:nsid w:val="65500A36"/>
    <w:multiLevelType w:val="hybridMultilevel"/>
    <w:tmpl w:val="DAAE04B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74DE3FF1"/>
    <w:multiLevelType w:val="hybridMultilevel"/>
    <w:tmpl w:val="DB70F358"/>
    <w:lvl w:ilvl="0" w:tplc="B19A0A6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5B32A74"/>
    <w:multiLevelType w:val="hybridMultilevel"/>
    <w:tmpl w:val="0C903AD2"/>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start w:val="1"/>
      <w:numFmt w:val="lowerLetter"/>
      <w:lvlText w:val="%5."/>
      <w:lvlJc w:val="left"/>
      <w:pPr>
        <w:ind w:left="3240" w:hanging="360"/>
      </w:pPr>
    </w:lvl>
    <w:lvl w:ilvl="5" w:tplc="0425001B">
      <w:start w:val="1"/>
      <w:numFmt w:val="lowerRoman"/>
      <w:lvlText w:val="%6."/>
      <w:lvlJc w:val="right"/>
      <w:pPr>
        <w:ind w:left="3960" w:hanging="180"/>
      </w:pPr>
    </w:lvl>
    <w:lvl w:ilvl="6" w:tplc="0425000F">
      <w:start w:val="1"/>
      <w:numFmt w:val="decimal"/>
      <w:lvlText w:val="%7."/>
      <w:lvlJc w:val="left"/>
      <w:pPr>
        <w:ind w:left="4680" w:hanging="360"/>
      </w:pPr>
    </w:lvl>
    <w:lvl w:ilvl="7" w:tplc="04250019">
      <w:start w:val="1"/>
      <w:numFmt w:val="lowerLetter"/>
      <w:lvlText w:val="%8."/>
      <w:lvlJc w:val="left"/>
      <w:pPr>
        <w:ind w:left="5400" w:hanging="360"/>
      </w:pPr>
    </w:lvl>
    <w:lvl w:ilvl="8" w:tplc="0425001B">
      <w:start w:val="1"/>
      <w:numFmt w:val="lowerRoman"/>
      <w:lvlText w:val="%9."/>
      <w:lvlJc w:val="right"/>
      <w:pPr>
        <w:ind w:left="6120" w:hanging="180"/>
      </w:pPr>
    </w:lvl>
  </w:abstractNum>
  <w:abstractNum w:abstractNumId="14" w15:restartNumberingAfterBreak="0">
    <w:nsid w:val="787A20C3"/>
    <w:multiLevelType w:val="hybridMultilevel"/>
    <w:tmpl w:val="578AD472"/>
    <w:lvl w:ilvl="0" w:tplc="BC60226E">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336468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7714156">
    <w:abstractNumId w:val="9"/>
  </w:num>
  <w:num w:numId="3" w16cid:durableId="754011294">
    <w:abstractNumId w:val="11"/>
  </w:num>
  <w:num w:numId="4" w16cid:durableId="1904564650">
    <w:abstractNumId w:val="8"/>
  </w:num>
  <w:num w:numId="5" w16cid:durableId="238491715">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1694764">
    <w:abstractNumId w:val="0"/>
  </w:num>
  <w:num w:numId="7" w16cid:durableId="1325820509">
    <w:abstractNumId w:val="6"/>
  </w:num>
  <w:num w:numId="8" w16cid:durableId="213858633">
    <w:abstractNumId w:val="14"/>
  </w:num>
  <w:num w:numId="9" w16cid:durableId="1310207211">
    <w:abstractNumId w:val="12"/>
  </w:num>
  <w:num w:numId="10" w16cid:durableId="401789">
    <w:abstractNumId w:val="1"/>
  </w:num>
  <w:num w:numId="11" w16cid:durableId="3871865">
    <w:abstractNumId w:val="7"/>
  </w:num>
  <w:num w:numId="12" w16cid:durableId="862400141">
    <w:abstractNumId w:val="5"/>
  </w:num>
  <w:num w:numId="13" w16cid:durableId="238180655">
    <w:abstractNumId w:val="3"/>
  </w:num>
  <w:num w:numId="14" w16cid:durableId="651131366">
    <w:abstractNumId w:val="4"/>
  </w:num>
  <w:num w:numId="15" w16cid:durableId="1980694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4D6"/>
    <w:rsid w:val="00002698"/>
    <w:rsid w:val="000108D0"/>
    <w:rsid w:val="0002309F"/>
    <w:rsid w:val="0005028F"/>
    <w:rsid w:val="00050DA1"/>
    <w:rsid w:val="00065584"/>
    <w:rsid w:val="0007562C"/>
    <w:rsid w:val="000B41E5"/>
    <w:rsid w:val="000C1CC9"/>
    <w:rsid w:val="000C5211"/>
    <w:rsid w:val="000F386A"/>
    <w:rsid w:val="00105AA2"/>
    <w:rsid w:val="00121522"/>
    <w:rsid w:val="00133135"/>
    <w:rsid w:val="001466D8"/>
    <w:rsid w:val="00177F62"/>
    <w:rsid w:val="00180632"/>
    <w:rsid w:val="001B6A2C"/>
    <w:rsid w:val="001C45AD"/>
    <w:rsid w:val="001D2C47"/>
    <w:rsid w:val="00204930"/>
    <w:rsid w:val="00210EE9"/>
    <w:rsid w:val="00216E5A"/>
    <w:rsid w:val="0026492E"/>
    <w:rsid w:val="002C288C"/>
    <w:rsid w:val="002E4731"/>
    <w:rsid w:val="002F362A"/>
    <w:rsid w:val="003375F1"/>
    <w:rsid w:val="00365F04"/>
    <w:rsid w:val="00373849"/>
    <w:rsid w:val="00385454"/>
    <w:rsid w:val="003A36AC"/>
    <w:rsid w:val="003A4A71"/>
    <w:rsid w:val="003A60EF"/>
    <w:rsid w:val="003B2833"/>
    <w:rsid w:val="003B57AB"/>
    <w:rsid w:val="003E1630"/>
    <w:rsid w:val="0041101B"/>
    <w:rsid w:val="004137F4"/>
    <w:rsid w:val="004224D7"/>
    <w:rsid w:val="004462F8"/>
    <w:rsid w:val="00451CFF"/>
    <w:rsid w:val="00482E70"/>
    <w:rsid w:val="00497DD0"/>
    <w:rsid w:val="004A6047"/>
    <w:rsid w:val="004D56ED"/>
    <w:rsid w:val="004F1A22"/>
    <w:rsid w:val="00534832"/>
    <w:rsid w:val="005464CB"/>
    <w:rsid w:val="005604C9"/>
    <w:rsid w:val="00572C6D"/>
    <w:rsid w:val="00573A62"/>
    <w:rsid w:val="00591E1E"/>
    <w:rsid w:val="00595D1C"/>
    <w:rsid w:val="00595FBD"/>
    <w:rsid w:val="005A2DF2"/>
    <w:rsid w:val="005B3BB1"/>
    <w:rsid w:val="005C0A49"/>
    <w:rsid w:val="005C6445"/>
    <w:rsid w:val="005E2EBB"/>
    <w:rsid w:val="005E5266"/>
    <w:rsid w:val="00605DB7"/>
    <w:rsid w:val="00615F15"/>
    <w:rsid w:val="00661ABD"/>
    <w:rsid w:val="006656FE"/>
    <w:rsid w:val="00683DE6"/>
    <w:rsid w:val="00693478"/>
    <w:rsid w:val="007007E9"/>
    <w:rsid w:val="0070135F"/>
    <w:rsid w:val="00702F76"/>
    <w:rsid w:val="00716AEC"/>
    <w:rsid w:val="00734E4F"/>
    <w:rsid w:val="00741218"/>
    <w:rsid w:val="007413E9"/>
    <w:rsid w:val="007447C2"/>
    <w:rsid w:val="00757EEC"/>
    <w:rsid w:val="00775C92"/>
    <w:rsid w:val="007B1E02"/>
    <w:rsid w:val="007B4382"/>
    <w:rsid w:val="007C66C6"/>
    <w:rsid w:val="007D48F8"/>
    <w:rsid w:val="007D71CE"/>
    <w:rsid w:val="00820664"/>
    <w:rsid w:val="008425B1"/>
    <w:rsid w:val="00882C39"/>
    <w:rsid w:val="0089029C"/>
    <w:rsid w:val="008A2884"/>
    <w:rsid w:val="0090076F"/>
    <w:rsid w:val="00917EA0"/>
    <w:rsid w:val="009202FD"/>
    <w:rsid w:val="00920FA8"/>
    <w:rsid w:val="009321C6"/>
    <w:rsid w:val="009554D6"/>
    <w:rsid w:val="00960CE9"/>
    <w:rsid w:val="009711AB"/>
    <w:rsid w:val="009772D3"/>
    <w:rsid w:val="00984677"/>
    <w:rsid w:val="00994B45"/>
    <w:rsid w:val="009A7370"/>
    <w:rsid w:val="009B0422"/>
    <w:rsid w:val="009C035B"/>
    <w:rsid w:val="009C2D48"/>
    <w:rsid w:val="009C3337"/>
    <w:rsid w:val="009D27C6"/>
    <w:rsid w:val="00A00CAA"/>
    <w:rsid w:val="00A22F7B"/>
    <w:rsid w:val="00A328C0"/>
    <w:rsid w:val="00A356B9"/>
    <w:rsid w:val="00A35D9C"/>
    <w:rsid w:val="00A62F6C"/>
    <w:rsid w:val="00A70DF8"/>
    <w:rsid w:val="00AE1EE5"/>
    <w:rsid w:val="00AF32A5"/>
    <w:rsid w:val="00B17A5C"/>
    <w:rsid w:val="00B17FC3"/>
    <w:rsid w:val="00B31AE7"/>
    <w:rsid w:val="00B42269"/>
    <w:rsid w:val="00B47899"/>
    <w:rsid w:val="00B57A8C"/>
    <w:rsid w:val="00B65D23"/>
    <w:rsid w:val="00B770E4"/>
    <w:rsid w:val="00B86BDC"/>
    <w:rsid w:val="00BA5681"/>
    <w:rsid w:val="00BA5C42"/>
    <w:rsid w:val="00C018BF"/>
    <w:rsid w:val="00C11800"/>
    <w:rsid w:val="00C46550"/>
    <w:rsid w:val="00CB7BFC"/>
    <w:rsid w:val="00CC3DEF"/>
    <w:rsid w:val="00CE589E"/>
    <w:rsid w:val="00CF6823"/>
    <w:rsid w:val="00D06E24"/>
    <w:rsid w:val="00D14F84"/>
    <w:rsid w:val="00D35664"/>
    <w:rsid w:val="00D3616A"/>
    <w:rsid w:val="00D4138B"/>
    <w:rsid w:val="00D43346"/>
    <w:rsid w:val="00D468C5"/>
    <w:rsid w:val="00D5648E"/>
    <w:rsid w:val="00D752A0"/>
    <w:rsid w:val="00DA043C"/>
    <w:rsid w:val="00DC07FE"/>
    <w:rsid w:val="00DC16E7"/>
    <w:rsid w:val="00DD3F43"/>
    <w:rsid w:val="00DE3D3D"/>
    <w:rsid w:val="00E061AD"/>
    <w:rsid w:val="00E1171C"/>
    <w:rsid w:val="00E343DF"/>
    <w:rsid w:val="00E4648A"/>
    <w:rsid w:val="00E60BE6"/>
    <w:rsid w:val="00E63BE4"/>
    <w:rsid w:val="00EB2B54"/>
    <w:rsid w:val="00EE444B"/>
    <w:rsid w:val="00EE73E6"/>
    <w:rsid w:val="00F43FF9"/>
    <w:rsid w:val="00F53F35"/>
    <w:rsid w:val="00F77F6E"/>
    <w:rsid w:val="00FA3EFD"/>
    <w:rsid w:val="00FA7397"/>
    <w:rsid w:val="00FC2A50"/>
    <w:rsid w:val="00FE23AB"/>
    <w:rsid w:val="00FE2ACA"/>
    <w:rsid w:val="00FF18B1"/>
    <w:rsid w:val="00FF54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7582E"/>
  <w15:chartTrackingRefBased/>
  <w15:docId w15:val="{C7B7911A-F78B-4D97-B563-745D4D60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4D6"/>
    <w:pPr>
      <w:spacing w:after="0" w:line="240" w:lineRule="auto"/>
      <w:ind w:left="720"/>
    </w:pPr>
    <w:rPr>
      <w:rFonts w:ascii="Calibri" w:hAnsi="Calibri" w:cs="Calibri"/>
      <w:kern w:val="0"/>
    </w:rPr>
  </w:style>
  <w:style w:type="paragraph" w:styleId="Revision">
    <w:name w:val="Revision"/>
    <w:hidden/>
    <w:uiPriority w:val="99"/>
    <w:semiHidden/>
    <w:rsid w:val="00716AEC"/>
    <w:pPr>
      <w:spacing w:after="0" w:line="240" w:lineRule="auto"/>
    </w:pPr>
  </w:style>
  <w:style w:type="table" w:styleId="TableGrid">
    <w:name w:val="Table Grid"/>
    <w:basedOn w:val="TableNormal"/>
    <w:uiPriority w:val="39"/>
    <w:rsid w:val="00D75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l"/>
    <w:link w:val="FootnoteTextChar"/>
    <w:uiPriority w:val="99"/>
    <w:unhideWhenUsed/>
    <w:qFormat/>
    <w:rsid w:val="00820664"/>
    <w:pPr>
      <w:spacing w:line="256" w:lineRule="auto"/>
    </w:pPr>
    <w:rPr>
      <w:rFonts w:ascii="Calibri" w:eastAsia="Calibri" w:hAnsi="Calibri" w:cs="Times New Roman"/>
      <w:kern w:val="0"/>
      <w:sz w:val="20"/>
      <w:szCs w:val="20"/>
      <w14:ligatures w14:val="none"/>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rsid w:val="00820664"/>
    <w:rPr>
      <w:rFonts w:ascii="Calibri" w:eastAsia="Calibri" w:hAnsi="Calibri" w:cs="Times New Roman"/>
      <w:kern w:val="0"/>
      <w:sz w:val="20"/>
      <w:szCs w:val="20"/>
      <w14:ligatures w14:val="none"/>
    </w:rPr>
  </w:style>
  <w:style w:type="character" w:styleId="FootnoteReference">
    <w:name w:val="footnote reference"/>
    <w:aliases w:val="Footnote symbol,Ref,de nota al pie,-E Fußnotenzeichen,fr,ftref,Footnotes refss,Fussnota,Footnote reference number,Times 10 Point,Exposant 3 Point,EN Footnote Reference,note TESI,Footnote Reference Superscript,Zchn Zchn,Footnote numb"/>
    <w:uiPriority w:val="99"/>
    <w:unhideWhenUsed/>
    <w:rsid w:val="00820664"/>
    <w:rPr>
      <w:vertAlign w:val="superscript"/>
    </w:rPr>
  </w:style>
  <w:style w:type="table" w:styleId="PlainTable1">
    <w:name w:val="Plain Table 1"/>
    <w:basedOn w:val="TableNormal"/>
    <w:uiPriority w:val="41"/>
    <w:rsid w:val="00AE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4462F8"/>
    <w:rPr>
      <w:color w:val="0563C1"/>
      <w:u w:val="single"/>
    </w:rPr>
  </w:style>
  <w:style w:type="paragraph" w:styleId="CommentText">
    <w:name w:val="annotation text"/>
    <w:basedOn w:val="Normal"/>
    <w:link w:val="CommentTextChar"/>
    <w:uiPriority w:val="99"/>
    <w:unhideWhenUsed/>
    <w:rsid w:val="00534832"/>
    <w:pPr>
      <w:spacing w:after="20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534832"/>
    <w:rPr>
      <w:rFonts w:ascii="Times New Roman" w:eastAsia="Times New Roman" w:hAnsi="Times New Roman" w:cs="Times New Roman"/>
      <w:kern w:val="0"/>
      <w:sz w:val="20"/>
      <w:szCs w:val="20"/>
      <w14:ligatures w14:val="none"/>
    </w:rPr>
  </w:style>
  <w:style w:type="paragraph" w:styleId="NormalWeb">
    <w:name w:val="Normal (Web)"/>
    <w:basedOn w:val="Normal"/>
    <w:uiPriority w:val="99"/>
    <w:unhideWhenUsed/>
    <w:rsid w:val="00534832"/>
    <w:pPr>
      <w:spacing w:after="0" w:line="240" w:lineRule="auto"/>
    </w:pPr>
    <w:rPr>
      <w:rFonts w:ascii="Times New Roman" w:eastAsia="Calibri" w:hAnsi="Times New Roman" w:cs="Times New Roman"/>
      <w:kern w:val="0"/>
      <w:sz w:val="24"/>
      <w:szCs w:val="24"/>
      <w:lang w:eastAsia="et-EE"/>
      <w14:ligatures w14:val="none"/>
    </w:rPr>
  </w:style>
  <w:style w:type="character" w:styleId="CommentReference">
    <w:name w:val="annotation reference"/>
    <w:basedOn w:val="DefaultParagraphFont"/>
    <w:uiPriority w:val="99"/>
    <w:semiHidden/>
    <w:unhideWhenUsed/>
    <w:rsid w:val="00BA5C42"/>
    <w:rPr>
      <w:sz w:val="16"/>
      <w:szCs w:val="16"/>
    </w:rPr>
  </w:style>
  <w:style w:type="paragraph" w:styleId="CommentSubject">
    <w:name w:val="annotation subject"/>
    <w:basedOn w:val="CommentText"/>
    <w:next w:val="CommentText"/>
    <w:link w:val="CommentSubjectChar"/>
    <w:uiPriority w:val="99"/>
    <w:semiHidden/>
    <w:unhideWhenUsed/>
    <w:rsid w:val="00BA5C42"/>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BA5C42"/>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5C64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6445"/>
  </w:style>
  <w:style w:type="paragraph" w:styleId="Footer">
    <w:name w:val="footer"/>
    <w:basedOn w:val="Normal"/>
    <w:link w:val="FooterChar"/>
    <w:uiPriority w:val="99"/>
    <w:unhideWhenUsed/>
    <w:rsid w:val="005C64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6445"/>
  </w:style>
  <w:style w:type="character" w:customStyle="1" w:styleId="ui-provider">
    <w:name w:val="ui-provider"/>
    <w:basedOn w:val="DefaultParagraphFont"/>
    <w:rsid w:val="002C2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4027">
      <w:bodyDiv w:val="1"/>
      <w:marLeft w:val="0"/>
      <w:marRight w:val="0"/>
      <w:marTop w:val="0"/>
      <w:marBottom w:val="0"/>
      <w:divBdr>
        <w:top w:val="none" w:sz="0" w:space="0" w:color="auto"/>
        <w:left w:val="none" w:sz="0" w:space="0" w:color="auto"/>
        <w:bottom w:val="none" w:sz="0" w:space="0" w:color="auto"/>
        <w:right w:val="none" w:sz="0" w:space="0" w:color="auto"/>
      </w:divBdr>
    </w:div>
    <w:div w:id="69432153">
      <w:bodyDiv w:val="1"/>
      <w:marLeft w:val="0"/>
      <w:marRight w:val="0"/>
      <w:marTop w:val="0"/>
      <w:marBottom w:val="0"/>
      <w:divBdr>
        <w:top w:val="none" w:sz="0" w:space="0" w:color="auto"/>
        <w:left w:val="none" w:sz="0" w:space="0" w:color="auto"/>
        <w:bottom w:val="none" w:sz="0" w:space="0" w:color="auto"/>
        <w:right w:val="none" w:sz="0" w:space="0" w:color="auto"/>
      </w:divBdr>
    </w:div>
    <w:div w:id="76289877">
      <w:bodyDiv w:val="1"/>
      <w:marLeft w:val="0"/>
      <w:marRight w:val="0"/>
      <w:marTop w:val="0"/>
      <w:marBottom w:val="0"/>
      <w:divBdr>
        <w:top w:val="none" w:sz="0" w:space="0" w:color="auto"/>
        <w:left w:val="none" w:sz="0" w:space="0" w:color="auto"/>
        <w:bottom w:val="none" w:sz="0" w:space="0" w:color="auto"/>
        <w:right w:val="none" w:sz="0" w:space="0" w:color="auto"/>
      </w:divBdr>
    </w:div>
    <w:div w:id="110246187">
      <w:bodyDiv w:val="1"/>
      <w:marLeft w:val="0"/>
      <w:marRight w:val="0"/>
      <w:marTop w:val="0"/>
      <w:marBottom w:val="0"/>
      <w:divBdr>
        <w:top w:val="none" w:sz="0" w:space="0" w:color="auto"/>
        <w:left w:val="none" w:sz="0" w:space="0" w:color="auto"/>
        <w:bottom w:val="none" w:sz="0" w:space="0" w:color="auto"/>
        <w:right w:val="none" w:sz="0" w:space="0" w:color="auto"/>
      </w:divBdr>
    </w:div>
    <w:div w:id="146943048">
      <w:bodyDiv w:val="1"/>
      <w:marLeft w:val="0"/>
      <w:marRight w:val="0"/>
      <w:marTop w:val="0"/>
      <w:marBottom w:val="0"/>
      <w:divBdr>
        <w:top w:val="none" w:sz="0" w:space="0" w:color="auto"/>
        <w:left w:val="none" w:sz="0" w:space="0" w:color="auto"/>
        <w:bottom w:val="none" w:sz="0" w:space="0" w:color="auto"/>
        <w:right w:val="none" w:sz="0" w:space="0" w:color="auto"/>
      </w:divBdr>
    </w:div>
    <w:div w:id="221988413">
      <w:bodyDiv w:val="1"/>
      <w:marLeft w:val="0"/>
      <w:marRight w:val="0"/>
      <w:marTop w:val="0"/>
      <w:marBottom w:val="0"/>
      <w:divBdr>
        <w:top w:val="none" w:sz="0" w:space="0" w:color="auto"/>
        <w:left w:val="none" w:sz="0" w:space="0" w:color="auto"/>
        <w:bottom w:val="none" w:sz="0" w:space="0" w:color="auto"/>
        <w:right w:val="none" w:sz="0" w:space="0" w:color="auto"/>
      </w:divBdr>
    </w:div>
    <w:div w:id="231238342">
      <w:bodyDiv w:val="1"/>
      <w:marLeft w:val="0"/>
      <w:marRight w:val="0"/>
      <w:marTop w:val="0"/>
      <w:marBottom w:val="0"/>
      <w:divBdr>
        <w:top w:val="none" w:sz="0" w:space="0" w:color="auto"/>
        <w:left w:val="none" w:sz="0" w:space="0" w:color="auto"/>
        <w:bottom w:val="none" w:sz="0" w:space="0" w:color="auto"/>
        <w:right w:val="none" w:sz="0" w:space="0" w:color="auto"/>
      </w:divBdr>
    </w:div>
    <w:div w:id="245768423">
      <w:bodyDiv w:val="1"/>
      <w:marLeft w:val="0"/>
      <w:marRight w:val="0"/>
      <w:marTop w:val="0"/>
      <w:marBottom w:val="0"/>
      <w:divBdr>
        <w:top w:val="none" w:sz="0" w:space="0" w:color="auto"/>
        <w:left w:val="none" w:sz="0" w:space="0" w:color="auto"/>
        <w:bottom w:val="none" w:sz="0" w:space="0" w:color="auto"/>
        <w:right w:val="none" w:sz="0" w:space="0" w:color="auto"/>
      </w:divBdr>
    </w:div>
    <w:div w:id="257754572">
      <w:bodyDiv w:val="1"/>
      <w:marLeft w:val="0"/>
      <w:marRight w:val="0"/>
      <w:marTop w:val="0"/>
      <w:marBottom w:val="0"/>
      <w:divBdr>
        <w:top w:val="none" w:sz="0" w:space="0" w:color="auto"/>
        <w:left w:val="none" w:sz="0" w:space="0" w:color="auto"/>
        <w:bottom w:val="none" w:sz="0" w:space="0" w:color="auto"/>
        <w:right w:val="none" w:sz="0" w:space="0" w:color="auto"/>
      </w:divBdr>
    </w:div>
    <w:div w:id="277612122">
      <w:bodyDiv w:val="1"/>
      <w:marLeft w:val="0"/>
      <w:marRight w:val="0"/>
      <w:marTop w:val="0"/>
      <w:marBottom w:val="0"/>
      <w:divBdr>
        <w:top w:val="none" w:sz="0" w:space="0" w:color="auto"/>
        <w:left w:val="none" w:sz="0" w:space="0" w:color="auto"/>
        <w:bottom w:val="none" w:sz="0" w:space="0" w:color="auto"/>
        <w:right w:val="none" w:sz="0" w:space="0" w:color="auto"/>
      </w:divBdr>
    </w:div>
    <w:div w:id="316616670">
      <w:bodyDiv w:val="1"/>
      <w:marLeft w:val="0"/>
      <w:marRight w:val="0"/>
      <w:marTop w:val="0"/>
      <w:marBottom w:val="0"/>
      <w:divBdr>
        <w:top w:val="none" w:sz="0" w:space="0" w:color="auto"/>
        <w:left w:val="none" w:sz="0" w:space="0" w:color="auto"/>
        <w:bottom w:val="none" w:sz="0" w:space="0" w:color="auto"/>
        <w:right w:val="none" w:sz="0" w:space="0" w:color="auto"/>
      </w:divBdr>
    </w:div>
    <w:div w:id="350183041">
      <w:bodyDiv w:val="1"/>
      <w:marLeft w:val="0"/>
      <w:marRight w:val="0"/>
      <w:marTop w:val="0"/>
      <w:marBottom w:val="0"/>
      <w:divBdr>
        <w:top w:val="none" w:sz="0" w:space="0" w:color="auto"/>
        <w:left w:val="none" w:sz="0" w:space="0" w:color="auto"/>
        <w:bottom w:val="none" w:sz="0" w:space="0" w:color="auto"/>
        <w:right w:val="none" w:sz="0" w:space="0" w:color="auto"/>
      </w:divBdr>
    </w:div>
    <w:div w:id="486476145">
      <w:bodyDiv w:val="1"/>
      <w:marLeft w:val="0"/>
      <w:marRight w:val="0"/>
      <w:marTop w:val="0"/>
      <w:marBottom w:val="0"/>
      <w:divBdr>
        <w:top w:val="none" w:sz="0" w:space="0" w:color="auto"/>
        <w:left w:val="none" w:sz="0" w:space="0" w:color="auto"/>
        <w:bottom w:val="none" w:sz="0" w:space="0" w:color="auto"/>
        <w:right w:val="none" w:sz="0" w:space="0" w:color="auto"/>
      </w:divBdr>
    </w:div>
    <w:div w:id="537547308">
      <w:bodyDiv w:val="1"/>
      <w:marLeft w:val="0"/>
      <w:marRight w:val="0"/>
      <w:marTop w:val="0"/>
      <w:marBottom w:val="0"/>
      <w:divBdr>
        <w:top w:val="none" w:sz="0" w:space="0" w:color="auto"/>
        <w:left w:val="none" w:sz="0" w:space="0" w:color="auto"/>
        <w:bottom w:val="none" w:sz="0" w:space="0" w:color="auto"/>
        <w:right w:val="none" w:sz="0" w:space="0" w:color="auto"/>
      </w:divBdr>
    </w:div>
    <w:div w:id="660352337">
      <w:bodyDiv w:val="1"/>
      <w:marLeft w:val="0"/>
      <w:marRight w:val="0"/>
      <w:marTop w:val="0"/>
      <w:marBottom w:val="0"/>
      <w:divBdr>
        <w:top w:val="none" w:sz="0" w:space="0" w:color="auto"/>
        <w:left w:val="none" w:sz="0" w:space="0" w:color="auto"/>
        <w:bottom w:val="none" w:sz="0" w:space="0" w:color="auto"/>
        <w:right w:val="none" w:sz="0" w:space="0" w:color="auto"/>
      </w:divBdr>
    </w:div>
    <w:div w:id="829055868">
      <w:bodyDiv w:val="1"/>
      <w:marLeft w:val="0"/>
      <w:marRight w:val="0"/>
      <w:marTop w:val="0"/>
      <w:marBottom w:val="0"/>
      <w:divBdr>
        <w:top w:val="none" w:sz="0" w:space="0" w:color="auto"/>
        <w:left w:val="none" w:sz="0" w:space="0" w:color="auto"/>
        <w:bottom w:val="none" w:sz="0" w:space="0" w:color="auto"/>
        <w:right w:val="none" w:sz="0" w:space="0" w:color="auto"/>
      </w:divBdr>
    </w:div>
    <w:div w:id="923420193">
      <w:bodyDiv w:val="1"/>
      <w:marLeft w:val="0"/>
      <w:marRight w:val="0"/>
      <w:marTop w:val="0"/>
      <w:marBottom w:val="0"/>
      <w:divBdr>
        <w:top w:val="none" w:sz="0" w:space="0" w:color="auto"/>
        <w:left w:val="none" w:sz="0" w:space="0" w:color="auto"/>
        <w:bottom w:val="none" w:sz="0" w:space="0" w:color="auto"/>
        <w:right w:val="none" w:sz="0" w:space="0" w:color="auto"/>
      </w:divBdr>
    </w:div>
    <w:div w:id="1022895126">
      <w:bodyDiv w:val="1"/>
      <w:marLeft w:val="0"/>
      <w:marRight w:val="0"/>
      <w:marTop w:val="0"/>
      <w:marBottom w:val="0"/>
      <w:divBdr>
        <w:top w:val="none" w:sz="0" w:space="0" w:color="auto"/>
        <w:left w:val="none" w:sz="0" w:space="0" w:color="auto"/>
        <w:bottom w:val="none" w:sz="0" w:space="0" w:color="auto"/>
        <w:right w:val="none" w:sz="0" w:space="0" w:color="auto"/>
      </w:divBdr>
    </w:div>
    <w:div w:id="1147866981">
      <w:bodyDiv w:val="1"/>
      <w:marLeft w:val="0"/>
      <w:marRight w:val="0"/>
      <w:marTop w:val="0"/>
      <w:marBottom w:val="0"/>
      <w:divBdr>
        <w:top w:val="none" w:sz="0" w:space="0" w:color="auto"/>
        <w:left w:val="none" w:sz="0" w:space="0" w:color="auto"/>
        <w:bottom w:val="none" w:sz="0" w:space="0" w:color="auto"/>
        <w:right w:val="none" w:sz="0" w:space="0" w:color="auto"/>
      </w:divBdr>
    </w:div>
    <w:div w:id="1296252865">
      <w:bodyDiv w:val="1"/>
      <w:marLeft w:val="0"/>
      <w:marRight w:val="0"/>
      <w:marTop w:val="0"/>
      <w:marBottom w:val="0"/>
      <w:divBdr>
        <w:top w:val="none" w:sz="0" w:space="0" w:color="auto"/>
        <w:left w:val="none" w:sz="0" w:space="0" w:color="auto"/>
        <w:bottom w:val="none" w:sz="0" w:space="0" w:color="auto"/>
        <w:right w:val="none" w:sz="0" w:space="0" w:color="auto"/>
      </w:divBdr>
    </w:div>
    <w:div w:id="1305817087">
      <w:bodyDiv w:val="1"/>
      <w:marLeft w:val="0"/>
      <w:marRight w:val="0"/>
      <w:marTop w:val="0"/>
      <w:marBottom w:val="0"/>
      <w:divBdr>
        <w:top w:val="none" w:sz="0" w:space="0" w:color="auto"/>
        <w:left w:val="none" w:sz="0" w:space="0" w:color="auto"/>
        <w:bottom w:val="none" w:sz="0" w:space="0" w:color="auto"/>
        <w:right w:val="none" w:sz="0" w:space="0" w:color="auto"/>
      </w:divBdr>
    </w:div>
    <w:div w:id="1333097324">
      <w:bodyDiv w:val="1"/>
      <w:marLeft w:val="0"/>
      <w:marRight w:val="0"/>
      <w:marTop w:val="0"/>
      <w:marBottom w:val="0"/>
      <w:divBdr>
        <w:top w:val="none" w:sz="0" w:space="0" w:color="auto"/>
        <w:left w:val="none" w:sz="0" w:space="0" w:color="auto"/>
        <w:bottom w:val="none" w:sz="0" w:space="0" w:color="auto"/>
        <w:right w:val="none" w:sz="0" w:space="0" w:color="auto"/>
      </w:divBdr>
    </w:div>
    <w:div w:id="1401095434">
      <w:bodyDiv w:val="1"/>
      <w:marLeft w:val="0"/>
      <w:marRight w:val="0"/>
      <w:marTop w:val="0"/>
      <w:marBottom w:val="0"/>
      <w:divBdr>
        <w:top w:val="none" w:sz="0" w:space="0" w:color="auto"/>
        <w:left w:val="none" w:sz="0" w:space="0" w:color="auto"/>
        <w:bottom w:val="none" w:sz="0" w:space="0" w:color="auto"/>
        <w:right w:val="none" w:sz="0" w:space="0" w:color="auto"/>
      </w:divBdr>
    </w:div>
    <w:div w:id="1450976734">
      <w:bodyDiv w:val="1"/>
      <w:marLeft w:val="0"/>
      <w:marRight w:val="0"/>
      <w:marTop w:val="0"/>
      <w:marBottom w:val="0"/>
      <w:divBdr>
        <w:top w:val="none" w:sz="0" w:space="0" w:color="auto"/>
        <w:left w:val="none" w:sz="0" w:space="0" w:color="auto"/>
        <w:bottom w:val="none" w:sz="0" w:space="0" w:color="auto"/>
        <w:right w:val="none" w:sz="0" w:space="0" w:color="auto"/>
      </w:divBdr>
    </w:div>
    <w:div w:id="1481729169">
      <w:bodyDiv w:val="1"/>
      <w:marLeft w:val="0"/>
      <w:marRight w:val="0"/>
      <w:marTop w:val="0"/>
      <w:marBottom w:val="0"/>
      <w:divBdr>
        <w:top w:val="none" w:sz="0" w:space="0" w:color="auto"/>
        <w:left w:val="none" w:sz="0" w:space="0" w:color="auto"/>
        <w:bottom w:val="none" w:sz="0" w:space="0" w:color="auto"/>
        <w:right w:val="none" w:sz="0" w:space="0" w:color="auto"/>
      </w:divBdr>
    </w:div>
    <w:div w:id="1540899201">
      <w:bodyDiv w:val="1"/>
      <w:marLeft w:val="0"/>
      <w:marRight w:val="0"/>
      <w:marTop w:val="0"/>
      <w:marBottom w:val="0"/>
      <w:divBdr>
        <w:top w:val="none" w:sz="0" w:space="0" w:color="auto"/>
        <w:left w:val="none" w:sz="0" w:space="0" w:color="auto"/>
        <w:bottom w:val="none" w:sz="0" w:space="0" w:color="auto"/>
        <w:right w:val="none" w:sz="0" w:space="0" w:color="auto"/>
      </w:divBdr>
    </w:div>
    <w:div w:id="1637446146">
      <w:bodyDiv w:val="1"/>
      <w:marLeft w:val="0"/>
      <w:marRight w:val="0"/>
      <w:marTop w:val="0"/>
      <w:marBottom w:val="0"/>
      <w:divBdr>
        <w:top w:val="none" w:sz="0" w:space="0" w:color="auto"/>
        <w:left w:val="none" w:sz="0" w:space="0" w:color="auto"/>
        <w:bottom w:val="none" w:sz="0" w:space="0" w:color="auto"/>
        <w:right w:val="none" w:sz="0" w:space="0" w:color="auto"/>
      </w:divBdr>
    </w:div>
    <w:div w:id="1725642079">
      <w:bodyDiv w:val="1"/>
      <w:marLeft w:val="0"/>
      <w:marRight w:val="0"/>
      <w:marTop w:val="0"/>
      <w:marBottom w:val="0"/>
      <w:divBdr>
        <w:top w:val="none" w:sz="0" w:space="0" w:color="auto"/>
        <w:left w:val="none" w:sz="0" w:space="0" w:color="auto"/>
        <w:bottom w:val="none" w:sz="0" w:space="0" w:color="auto"/>
        <w:right w:val="none" w:sz="0" w:space="0" w:color="auto"/>
      </w:divBdr>
    </w:div>
    <w:div w:id="1823154520">
      <w:bodyDiv w:val="1"/>
      <w:marLeft w:val="0"/>
      <w:marRight w:val="0"/>
      <w:marTop w:val="0"/>
      <w:marBottom w:val="0"/>
      <w:divBdr>
        <w:top w:val="none" w:sz="0" w:space="0" w:color="auto"/>
        <w:left w:val="none" w:sz="0" w:space="0" w:color="auto"/>
        <w:bottom w:val="none" w:sz="0" w:space="0" w:color="auto"/>
        <w:right w:val="none" w:sz="0" w:space="0" w:color="auto"/>
      </w:divBdr>
    </w:div>
    <w:div w:id="1825466718">
      <w:bodyDiv w:val="1"/>
      <w:marLeft w:val="0"/>
      <w:marRight w:val="0"/>
      <w:marTop w:val="0"/>
      <w:marBottom w:val="0"/>
      <w:divBdr>
        <w:top w:val="none" w:sz="0" w:space="0" w:color="auto"/>
        <w:left w:val="none" w:sz="0" w:space="0" w:color="auto"/>
        <w:bottom w:val="none" w:sz="0" w:space="0" w:color="auto"/>
        <w:right w:val="none" w:sz="0" w:space="0" w:color="auto"/>
      </w:divBdr>
    </w:div>
    <w:div w:id="1856771360">
      <w:bodyDiv w:val="1"/>
      <w:marLeft w:val="0"/>
      <w:marRight w:val="0"/>
      <w:marTop w:val="0"/>
      <w:marBottom w:val="0"/>
      <w:divBdr>
        <w:top w:val="none" w:sz="0" w:space="0" w:color="auto"/>
        <w:left w:val="none" w:sz="0" w:space="0" w:color="auto"/>
        <w:bottom w:val="none" w:sz="0" w:space="0" w:color="auto"/>
        <w:right w:val="none" w:sz="0" w:space="0" w:color="auto"/>
      </w:divBdr>
    </w:div>
    <w:div w:id="1916817998">
      <w:bodyDiv w:val="1"/>
      <w:marLeft w:val="0"/>
      <w:marRight w:val="0"/>
      <w:marTop w:val="0"/>
      <w:marBottom w:val="0"/>
      <w:divBdr>
        <w:top w:val="none" w:sz="0" w:space="0" w:color="auto"/>
        <w:left w:val="none" w:sz="0" w:space="0" w:color="auto"/>
        <w:bottom w:val="none" w:sz="0" w:space="0" w:color="auto"/>
        <w:right w:val="none" w:sz="0" w:space="0" w:color="auto"/>
      </w:divBdr>
    </w:div>
    <w:div w:id="1963925323">
      <w:bodyDiv w:val="1"/>
      <w:marLeft w:val="0"/>
      <w:marRight w:val="0"/>
      <w:marTop w:val="0"/>
      <w:marBottom w:val="0"/>
      <w:divBdr>
        <w:top w:val="none" w:sz="0" w:space="0" w:color="auto"/>
        <w:left w:val="none" w:sz="0" w:space="0" w:color="auto"/>
        <w:bottom w:val="none" w:sz="0" w:space="0" w:color="auto"/>
        <w:right w:val="none" w:sz="0" w:space="0" w:color="auto"/>
      </w:divBdr>
    </w:div>
    <w:div w:id="1981764721">
      <w:bodyDiv w:val="1"/>
      <w:marLeft w:val="0"/>
      <w:marRight w:val="0"/>
      <w:marTop w:val="0"/>
      <w:marBottom w:val="0"/>
      <w:divBdr>
        <w:top w:val="none" w:sz="0" w:space="0" w:color="auto"/>
        <w:left w:val="none" w:sz="0" w:space="0" w:color="auto"/>
        <w:bottom w:val="none" w:sz="0" w:space="0" w:color="auto"/>
        <w:right w:val="none" w:sz="0" w:space="0" w:color="auto"/>
      </w:divBdr>
    </w:div>
    <w:div w:id="1986738966">
      <w:bodyDiv w:val="1"/>
      <w:marLeft w:val="0"/>
      <w:marRight w:val="0"/>
      <w:marTop w:val="0"/>
      <w:marBottom w:val="0"/>
      <w:divBdr>
        <w:top w:val="none" w:sz="0" w:space="0" w:color="auto"/>
        <w:left w:val="none" w:sz="0" w:space="0" w:color="auto"/>
        <w:bottom w:val="none" w:sz="0" w:space="0" w:color="auto"/>
        <w:right w:val="none" w:sz="0" w:space="0" w:color="auto"/>
      </w:divBdr>
    </w:div>
    <w:div w:id="2007126146">
      <w:bodyDiv w:val="1"/>
      <w:marLeft w:val="0"/>
      <w:marRight w:val="0"/>
      <w:marTop w:val="0"/>
      <w:marBottom w:val="0"/>
      <w:divBdr>
        <w:top w:val="none" w:sz="0" w:space="0" w:color="auto"/>
        <w:left w:val="none" w:sz="0" w:space="0" w:color="auto"/>
        <w:bottom w:val="none" w:sz="0" w:space="0" w:color="auto"/>
        <w:right w:val="none" w:sz="0" w:space="0" w:color="auto"/>
      </w:divBdr>
    </w:div>
    <w:div w:id="2036153979">
      <w:bodyDiv w:val="1"/>
      <w:marLeft w:val="0"/>
      <w:marRight w:val="0"/>
      <w:marTop w:val="0"/>
      <w:marBottom w:val="0"/>
      <w:divBdr>
        <w:top w:val="none" w:sz="0" w:space="0" w:color="auto"/>
        <w:left w:val="none" w:sz="0" w:space="0" w:color="auto"/>
        <w:bottom w:val="none" w:sz="0" w:space="0" w:color="auto"/>
        <w:right w:val="none" w:sz="0" w:space="0" w:color="auto"/>
      </w:divBdr>
    </w:div>
    <w:div w:id="2037265064">
      <w:bodyDiv w:val="1"/>
      <w:marLeft w:val="0"/>
      <w:marRight w:val="0"/>
      <w:marTop w:val="0"/>
      <w:marBottom w:val="0"/>
      <w:divBdr>
        <w:top w:val="none" w:sz="0" w:space="0" w:color="auto"/>
        <w:left w:val="none" w:sz="0" w:space="0" w:color="auto"/>
        <w:bottom w:val="none" w:sz="0" w:space="0" w:color="auto"/>
        <w:right w:val="none" w:sz="0" w:space="0" w:color="auto"/>
      </w:divBdr>
    </w:div>
    <w:div w:id="2041851406">
      <w:bodyDiv w:val="1"/>
      <w:marLeft w:val="0"/>
      <w:marRight w:val="0"/>
      <w:marTop w:val="0"/>
      <w:marBottom w:val="0"/>
      <w:divBdr>
        <w:top w:val="none" w:sz="0" w:space="0" w:color="auto"/>
        <w:left w:val="none" w:sz="0" w:space="0" w:color="auto"/>
        <w:bottom w:val="none" w:sz="0" w:space="0" w:color="auto"/>
        <w:right w:val="none" w:sz="0" w:space="0" w:color="auto"/>
      </w:divBdr>
    </w:div>
    <w:div w:id="212639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rikos.rik.ee/?asjaNr=3-4-1-8-09" TargetMode="External"/><Relationship Id="rId2" Type="http://schemas.openxmlformats.org/officeDocument/2006/relationships/hyperlink" Target="https://minuomavalitsus.ee/omavalitsuste-finantsolukorra-indeks" TargetMode="External"/><Relationship Id="rId1" Type="http://schemas.openxmlformats.org/officeDocument/2006/relationships/hyperlink" Target="https://www.fin.ee/media/6986/download"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Tasandusfond!$FD$3</c:f>
              <c:strCache>
                <c:ptCount val="1"/>
                <c:pt idx="0">
                  <c:v>enne muudatust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6"/>
              <c:dLblPos val="b"/>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64-4005-B8E3-AB2CF0E623D7}"/>
                </c:ext>
              </c:extLst>
            </c:dLbl>
            <c:dLbl>
              <c:idx val="51"/>
              <c:dLblPos val="b"/>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64-4005-B8E3-AB2CF0E623D7}"/>
                </c:ext>
              </c:extLst>
            </c:dLbl>
            <c:dLbl>
              <c:idx val="65"/>
              <c:dLblPos val="l"/>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64-4005-B8E3-AB2CF0E623D7}"/>
                </c:ext>
              </c:extLst>
            </c:dLbl>
            <c:dLbl>
              <c:idx val="74"/>
              <c:dLblPos val="l"/>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64-4005-B8E3-AB2CF0E623D7}"/>
                </c:ext>
              </c:extLst>
            </c:dLbl>
            <c:dLbl>
              <c:idx val="75"/>
              <c:dLblPos val="l"/>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64-4005-B8E3-AB2CF0E623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Tasandusfond!$FC$4:$FC$80</c:f>
              <c:strCache>
                <c:ptCount val="77"/>
                <c:pt idx="0">
                  <c:v>Vinni vald</c:v>
                </c:pt>
                <c:pt idx="1">
                  <c:v>Tori vald</c:v>
                </c:pt>
                <c:pt idx="2">
                  <c:v>Kehtna vald</c:v>
                </c:pt>
                <c:pt idx="3">
                  <c:v>Peipsiääre vald</c:v>
                </c:pt>
                <c:pt idx="4">
                  <c:v>Häädemeeste vald</c:v>
                </c:pt>
                <c:pt idx="5">
                  <c:v>Kastre vald</c:v>
                </c:pt>
                <c:pt idx="6">
                  <c:v>Mulgi vald</c:v>
                </c:pt>
                <c:pt idx="7">
                  <c:v>Valga vald</c:v>
                </c:pt>
                <c:pt idx="8">
                  <c:v>Järva vald</c:v>
                </c:pt>
                <c:pt idx="9">
                  <c:v>Tapa vald</c:v>
                </c:pt>
                <c:pt idx="10">
                  <c:v>Väike-Maarja vald</c:v>
                </c:pt>
                <c:pt idx="11">
                  <c:v>Elva vald</c:v>
                </c:pt>
                <c:pt idx="12">
                  <c:v>Tõrva vald</c:v>
                </c:pt>
                <c:pt idx="13">
                  <c:v>Põhja-Sakala vald</c:v>
                </c:pt>
                <c:pt idx="14">
                  <c:v>Antsla vald</c:v>
                </c:pt>
                <c:pt idx="15">
                  <c:v>Võru vald</c:v>
                </c:pt>
                <c:pt idx="16">
                  <c:v>Narva linn</c:v>
                </c:pt>
                <c:pt idx="17">
                  <c:v>Setomaa vald</c:v>
                </c:pt>
                <c:pt idx="18">
                  <c:v>Räpina vald</c:v>
                </c:pt>
                <c:pt idx="19">
                  <c:v>Viljandi vald</c:v>
                </c:pt>
                <c:pt idx="20">
                  <c:v>Mustvee vald</c:v>
                </c:pt>
                <c:pt idx="21">
                  <c:v>Põhja-Pärnumaa vald</c:v>
                </c:pt>
                <c:pt idx="22">
                  <c:v>Anija vald</c:v>
                </c:pt>
                <c:pt idx="23">
                  <c:v>Kose vald</c:v>
                </c:pt>
                <c:pt idx="24">
                  <c:v>Põltsamaa vald</c:v>
                </c:pt>
                <c:pt idx="25">
                  <c:v>Lääne-Nigula vald</c:v>
                </c:pt>
                <c:pt idx="26">
                  <c:v>Kanepi vald</c:v>
                </c:pt>
                <c:pt idx="27">
                  <c:v>Saarde vald</c:v>
                </c:pt>
                <c:pt idx="28">
                  <c:v>Märjamaa vald</c:v>
                </c:pt>
                <c:pt idx="29">
                  <c:v>Nõo vald</c:v>
                </c:pt>
                <c:pt idx="30">
                  <c:v>Otepää vald</c:v>
                </c:pt>
                <c:pt idx="31">
                  <c:v>Tartu vald</c:v>
                </c:pt>
                <c:pt idx="32">
                  <c:v>Kohila vald</c:v>
                </c:pt>
                <c:pt idx="33">
                  <c:v>Luunja vald</c:v>
                </c:pt>
                <c:pt idx="34">
                  <c:v>Lüganuse vald</c:v>
                </c:pt>
                <c:pt idx="35">
                  <c:v>Viru-Nigula vald</c:v>
                </c:pt>
                <c:pt idx="36">
                  <c:v>Põlva vald</c:v>
                </c:pt>
                <c:pt idx="37">
                  <c:v>Võru linn</c:v>
                </c:pt>
                <c:pt idx="38">
                  <c:v>Jõgeva vald</c:v>
                </c:pt>
                <c:pt idx="39">
                  <c:v>Türi vald</c:v>
                </c:pt>
                <c:pt idx="40">
                  <c:v>Lääneranna vald</c:v>
                </c:pt>
                <c:pt idx="41">
                  <c:v>Narva-Jõesuu linn</c:v>
                </c:pt>
                <c:pt idx="42">
                  <c:v>Loksa linn</c:v>
                </c:pt>
                <c:pt idx="43">
                  <c:v>Kohtla-Järve linn</c:v>
                </c:pt>
                <c:pt idx="44">
                  <c:v>Sillamäe linn</c:v>
                </c:pt>
                <c:pt idx="45">
                  <c:v>Rakvere vald</c:v>
                </c:pt>
                <c:pt idx="46">
                  <c:v>Rakvere linn</c:v>
                </c:pt>
                <c:pt idx="47">
                  <c:v>Pärnu linn</c:v>
                </c:pt>
                <c:pt idx="48">
                  <c:v>Viljandi linn</c:v>
                </c:pt>
                <c:pt idx="49">
                  <c:v>Kadrina vald</c:v>
                </c:pt>
                <c:pt idx="50">
                  <c:v>Kambja vald</c:v>
                </c:pt>
                <c:pt idx="51">
                  <c:v>Rõuge vald</c:v>
                </c:pt>
                <c:pt idx="52">
                  <c:v>Kuusalu vald</c:v>
                </c:pt>
                <c:pt idx="53">
                  <c:v>Lääne-Harju vald</c:v>
                </c:pt>
                <c:pt idx="54">
                  <c:v>Rapla vald</c:v>
                </c:pt>
                <c:pt idx="55">
                  <c:v>Raasiku vald</c:v>
                </c:pt>
                <c:pt idx="56">
                  <c:v>Haapsalu linn</c:v>
                </c:pt>
                <c:pt idx="57">
                  <c:v>Saaremaa vald</c:v>
                </c:pt>
                <c:pt idx="58">
                  <c:v>Jõhvi vald</c:v>
                </c:pt>
                <c:pt idx="59">
                  <c:v>Alutaguse vald</c:v>
                </c:pt>
                <c:pt idx="60">
                  <c:v>Paide linn</c:v>
                </c:pt>
                <c:pt idx="61">
                  <c:v>Kiili vald</c:v>
                </c:pt>
                <c:pt idx="62">
                  <c:v>Tartu linn</c:v>
                </c:pt>
                <c:pt idx="63">
                  <c:v>Maardu linn</c:v>
                </c:pt>
                <c:pt idx="64">
                  <c:v>Keila linn</c:v>
                </c:pt>
                <c:pt idx="65">
                  <c:v>Saue vald</c:v>
                </c:pt>
                <c:pt idx="66">
                  <c:v>Toila vald</c:v>
                </c:pt>
                <c:pt idx="67">
                  <c:v>Rae vald</c:v>
                </c:pt>
                <c:pt idx="68">
                  <c:v>Haljala vald</c:v>
                </c:pt>
                <c:pt idx="69">
                  <c:v>Saku vald</c:v>
                </c:pt>
                <c:pt idx="70">
                  <c:v>Jõelähtme vald</c:v>
                </c:pt>
                <c:pt idx="71">
                  <c:v>Harku vald</c:v>
                </c:pt>
                <c:pt idx="72">
                  <c:v>Muhu vald</c:v>
                </c:pt>
                <c:pt idx="73">
                  <c:v>Hiiumaa vald</c:v>
                </c:pt>
                <c:pt idx="74">
                  <c:v>Tallinna linn</c:v>
                </c:pt>
                <c:pt idx="75">
                  <c:v>Viimsi vald</c:v>
                </c:pt>
                <c:pt idx="76">
                  <c:v>Kihnu vald</c:v>
                </c:pt>
              </c:strCache>
            </c:strRef>
          </c:cat>
          <c:val>
            <c:numRef>
              <c:f>Tasandusfond!$FD$4:$FD$80</c:f>
              <c:numCache>
                <c:formatCode>0.00</c:formatCode>
                <c:ptCount val="77"/>
                <c:pt idx="0">
                  <c:v>0.96</c:v>
                </c:pt>
                <c:pt idx="1">
                  <c:v>0.98</c:v>
                </c:pt>
                <c:pt idx="2">
                  <c:v>0.96</c:v>
                </c:pt>
                <c:pt idx="3">
                  <c:v>0.95</c:v>
                </c:pt>
                <c:pt idx="4">
                  <c:v>0.95</c:v>
                </c:pt>
                <c:pt idx="5">
                  <c:v>0.97</c:v>
                </c:pt>
                <c:pt idx="6">
                  <c:v>0.95</c:v>
                </c:pt>
                <c:pt idx="7">
                  <c:v>0.95</c:v>
                </c:pt>
                <c:pt idx="8">
                  <c:v>0.95</c:v>
                </c:pt>
                <c:pt idx="9">
                  <c:v>0.95</c:v>
                </c:pt>
                <c:pt idx="10">
                  <c:v>0.95</c:v>
                </c:pt>
                <c:pt idx="11">
                  <c:v>0.96</c:v>
                </c:pt>
                <c:pt idx="12">
                  <c:v>0.95</c:v>
                </c:pt>
                <c:pt idx="13">
                  <c:v>0.95</c:v>
                </c:pt>
                <c:pt idx="14">
                  <c:v>0.96</c:v>
                </c:pt>
                <c:pt idx="15">
                  <c:v>0.97</c:v>
                </c:pt>
                <c:pt idx="16">
                  <c:v>0.95</c:v>
                </c:pt>
                <c:pt idx="17">
                  <c:v>0.95</c:v>
                </c:pt>
                <c:pt idx="18">
                  <c:v>0.94</c:v>
                </c:pt>
                <c:pt idx="19">
                  <c:v>0.96</c:v>
                </c:pt>
                <c:pt idx="20">
                  <c:v>0.94</c:v>
                </c:pt>
                <c:pt idx="21">
                  <c:v>0.96</c:v>
                </c:pt>
                <c:pt idx="22">
                  <c:v>0.97</c:v>
                </c:pt>
                <c:pt idx="23">
                  <c:v>0.99</c:v>
                </c:pt>
                <c:pt idx="24">
                  <c:v>0.96</c:v>
                </c:pt>
                <c:pt idx="25">
                  <c:v>0.96</c:v>
                </c:pt>
                <c:pt idx="26">
                  <c:v>0.96</c:v>
                </c:pt>
                <c:pt idx="27">
                  <c:v>0.96</c:v>
                </c:pt>
                <c:pt idx="28">
                  <c:v>0.97</c:v>
                </c:pt>
                <c:pt idx="29">
                  <c:v>0.98</c:v>
                </c:pt>
                <c:pt idx="30">
                  <c:v>0.96</c:v>
                </c:pt>
                <c:pt idx="31">
                  <c:v>0.99</c:v>
                </c:pt>
                <c:pt idx="32">
                  <c:v>0.99</c:v>
                </c:pt>
                <c:pt idx="33">
                  <c:v>1</c:v>
                </c:pt>
                <c:pt idx="34">
                  <c:v>0.96</c:v>
                </c:pt>
                <c:pt idx="35">
                  <c:v>0.95</c:v>
                </c:pt>
                <c:pt idx="36">
                  <c:v>0.97</c:v>
                </c:pt>
                <c:pt idx="37">
                  <c:v>0.96</c:v>
                </c:pt>
                <c:pt idx="38">
                  <c:v>0.96</c:v>
                </c:pt>
                <c:pt idx="39">
                  <c:v>0.96</c:v>
                </c:pt>
                <c:pt idx="40">
                  <c:v>0.96</c:v>
                </c:pt>
                <c:pt idx="41">
                  <c:v>0.96</c:v>
                </c:pt>
                <c:pt idx="42">
                  <c:v>0.95</c:v>
                </c:pt>
                <c:pt idx="43">
                  <c:v>0.96</c:v>
                </c:pt>
                <c:pt idx="44">
                  <c:v>0.95</c:v>
                </c:pt>
                <c:pt idx="45">
                  <c:v>0.97</c:v>
                </c:pt>
                <c:pt idx="46">
                  <c:v>0.97</c:v>
                </c:pt>
                <c:pt idx="47">
                  <c:v>0.97</c:v>
                </c:pt>
                <c:pt idx="48">
                  <c:v>0.97</c:v>
                </c:pt>
                <c:pt idx="49">
                  <c:v>0.97</c:v>
                </c:pt>
                <c:pt idx="50">
                  <c:v>1.03</c:v>
                </c:pt>
                <c:pt idx="51">
                  <c:v>0.97</c:v>
                </c:pt>
                <c:pt idx="52">
                  <c:v>0.98</c:v>
                </c:pt>
                <c:pt idx="53">
                  <c:v>0.98</c:v>
                </c:pt>
                <c:pt idx="54">
                  <c:v>0.98</c:v>
                </c:pt>
                <c:pt idx="55">
                  <c:v>1.03</c:v>
                </c:pt>
                <c:pt idx="56">
                  <c:v>0.97</c:v>
                </c:pt>
                <c:pt idx="57">
                  <c:v>0.97</c:v>
                </c:pt>
                <c:pt idx="58">
                  <c:v>0.97</c:v>
                </c:pt>
                <c:pt idx="59">
                  <c:v>0.97</c:v>
                </c:pt>
                <c:pt idx="60">
                  <c:v>0.97</c:v>
                </c:pt>
                <c:pt idx="61">
                  <c:v>1.0900000000000001</c:v>
                </c:pt>
                <c:pt idx="62">
                  <c:v>1.05</c:v>
                </c:pt>
                <c:pt idx="63">
                  <c:v>1.02</c:v>
                </c:pt>
                <c:pt idx="64">
                  <c:v>1.1000000000000001</c:v>
                </c:pt>
                <c:pt idx="65">
                  <c:v>1.1399999999999999</c:v>
                </c:pt>
                <c:pt idx="66">
                  <c:v>1.04</c:v>
                </c:pt>
                <c:pt idx="67">
                  <c:v>1.2</c:v>
                </c:pt>
                <c:pt idx="68">
                  <c:v>1.07</c:v>
                </c:pt>
                <c:pt idx="69">
                  <c:v>1.1599999999999999</c:v>
                </c:pt>
                <c:pt idx="70">
                  <c:v>1.17</c:v>
                </c:pt>
                <c:pt idx="71">
                  <c:v>1.28</c:v>
                </c:pt>
                <c:pt idx="72">
                  <c:v>1.2</c:v>
                </c:pt>
                <c:pt idx="73">
                  <c:v>1.24</c:v>
                </c:pt>
                <c:pt idx="74">
                  <c:v>1.3</c:v>
                </c:pt>
                <c:pt idx="75">
                  <c:v>1.42</c:v>
                </c:pt>
                <c:pt idx="76">
                  <c:v>1.23</c:v>
                </c:pt>
              </c:numCache>
            </c:numRef>
          </c:val>
          <c:smooth val="0"/>
          <c:extLst>
            <c:ext xmlns:c16="http://schemas.microsoft.com/office/drawing/2014/chart" uri="{C3380CC4-5D6E-409C-BE32-E72D297353CC}">
              <c16:uniqueId val="{00000005-A664-4005-B8E3-AB2CF0E623D7}"/>
            </c:ext>
          </c:extLst>
        </c:ser>
        <c:ser>
          <c:idx val="1"/>
          <c:order val="1"/>
          <c:tx>
            <c:strRef>
              <c:f>Tasandusfond!$FE$3</c:f>
              <c:strCache>
                <c:ptCount val="1"/>
                <c:pt idx="0">
                  <c:v>pärast muudatust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6"/>
              <c:dLblPos val="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64-4005-B8E3-AB2CF0E623D7}"/>
                </c:ext>
              </c:extLst>
            </c:dLbl>
            <c:dLbl>
              <c:idx val="51"/>
              <c:dLblPos val="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64-4005-B8E3-AB2CF0E623D7}"/>
                </c:ext>
              </c:extLst>
            </c:dLbl>
            <c:dLbl>
              <c:idx val="65"/>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64-4005-B8E3-AB2CF0E623D7}"/>
                </c:ext>
              </c:extLst>
            </c:dLbl>
            <c:dLbl>
              <c:idx val="74"/>
              <c:dLblPos val="l"/>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64-4005-B8E3-AB2CF0E623D7}"/>
                </c:ext>
              </c:extLst>
            </c:dLbl>
            <c:dLbl>
              <c:idx val="7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64-4005-B8E3-AB2CF0E623D7}"/>
                </c:ext>
              </c:extLst>
            </c:dLbl>
            <c:dLbl>
              <c:idx val="76"/>
              <c:dLblPos val="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64-4005-B8E3-AB2CF0E623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Tasandusfond!$FC$4:$FC$80</c:f>
              <c:strCache>
                <c:ptCount val="77"/>
                <c:pt idx="0">
                  <c:v>Vinni vald</c:v>
                </c:pt>
                <c:pt idx="1">
                  <c:v>Tori vald</c:v>
                </c:pt>
                <c:pt idx="2">
                  <c:v>Kehtna vald</c:v>
                </c:pt>
                <c:pt idx="3">
                  <c:v>Peipsiääre vald</c:v>
                </c:pt>
                <c:pt idx="4">
                  <c:v>Häädemeeste vald</c:v>
                </c:pt>
                <c:pt idx="5">
                  <c:v>Kastre vald</c:v>
                </c:pt>
                <c:pt idx="6">
                  <c:v>Mulgi vald</c:v>
                </c:pt>
                <c:pt idx="7">
                  <c:v>Valga vald</c:v>
                </c:pt>
                <c:pt idx="8">
                  <c:v>Järva vald</c:v>
                </c:pt>
                <c:pt idx="9">
                  <c:v>Tapa vald</c:v>
                </c:pt>
                <c:pt idx="10">
                  <c:v>Väike-Maarja vald</c:v>
                </c:pt>
                <c:pt idx="11">
                  <c:v>Elva vald</c:v>
                </c:pt>
                <c:pt idx="12">
                  <c:v>Tõrva vald</c:v>
                </c:pt>
                <c:pt idx="13">
                  <c:v>Põhja-Sakala vald</c:v>
                </c:pt>
                <c:pt idx="14">
                  <c:v>Antsla vald</c:v>
                </c:pt>
                <c:pt idx="15">
                  <c:v>Võru vald</c:v>
                </c:pt>
                <c:pt idx="16">
                  <c:v>Narva linn</c:v>
                </c:pt>
                <c:pt idx="17">
                  <c:v>Setomaa vald</c:v>
                </c:pt>
                <c:pt idx="18">
                  <c:v>Räpina vald</c:v>
                </c:pt>
                <c:pt idx="19">
                  <c:v>Viljandi vald</c:v>
                </c:pt>
                <c:pt idx="20">
                  <c:v>Mustvee vald</c:v>
                </c:pt>
                <c:pt idx="21">
                  <c:v>Põhja-Pärnumaa vald</c:v>
                </c:pt>
                <c:pt idx="22">
                  <c:v>Anija vald</c:v>
                </c:pt>
                <c:pt idx="23">
                  <c:v>Kose vald</c:v>
                </c:pt>
                <c:pt idx="24">
                  <c:v>Põltsamaa vald</c:v>
                </c:pt>
                <c:pt idx="25">
                  <c:v>Lääne-Nigula vald</c:v>
                </c:pt>
                <c:pt idx="26">
                  <c:v>Kanepi vald</c:v>
                </c:pt>
                <c:pt idx="27">
                  <c:v>Saarde vald</c:v>
                </c:pt>
                <c:pt idx="28">
                  <c:v>Märjamaa vald</c:v>
                </c:pt>
                <c:pt idx="29">
                  <c:v>Nõo vald</c:v>
                </c:pt>
                <c:pt idx="30">
                  <c:v>Otepää vald</c:v>
                </c:pt>
                <c:pt idx="31">
                  <c:v>Tartu vald</c:v>
                </c:pt>
                <c:pt idx="32">
                  <c:v>Kohila vald</c:v>
                </c:pt>
                <c:pt idx="33">
                  <c:v>Luunja vald</c:v>
                </c:pt>
                <c:pt idx="34">
                  <c:v>Lüganuse vald</c:v>
                </c:pt>
                <c:pt idx="35">
                  <c:v>Viru-Nigula vald</c:v>
                </c:pt>
                <c:pt idx="36">
                  <c:v>Põlva vald</c:v>
                </c:pt>
                <c:pt idx="37">
                  <c:v>Võru linn</c:v>
                </c:pt>
                <c:pt idx="38">
                  <c:v>Jõgeva vald</c:v>
                </c:pt>
                <c:pt idx="39">
                  <c:v>Türi vald</c:v>
                </c:pt>
                <c:pt idx="40">
                  <c:v>Lääneranna vald</c:v>
                </c:pt>
                <c:pt idx="41">
                  <c:v>Narva-Jõesuu linn</c:v>
                </c:pt>
                <c:pt idx="42">
                  <c:v>Loksa linn</c:v>
                </c:pt>
                <c:pt idx="43">
                  <c:v>Kohtla-Järve linn</c:v>
                </c:pt>
                <c:pt idx="44">
                  <c:v>Sillamäe linn</c:v>
                </c:pt>
                <c:pt idx="45">
                  <c:v>Rakvere vald</c:v>
                </c:pt>
                <c:pt idx="46">
                  <c:v>Rakvere linn</c:v>
                </c:pt>
                <c:pt idx="47">
                  <c:v>Pärnu linn</c:v>
                </c:pt>
                <c:pt idx="48">
                  <c:v>Viljandi linn</c:v>
                </c:pt>
                <c:pt idx="49">
                  <c:v>Kadrina vald</c:v>
                </c:pt>
                <c:pt idx="50">
                  <c:v>Kambja vald</c:v>
                </c:pt>
                <c:pt idx="51">
                  <c:v>Rõuge vald</c:v>
                </c:pt>
                <c:pt idx="52">
                  <c:v>Kuusalu vald</c:v>
                </c:pt>
                <c:pt idx="53">
                  <c:v>Lääne-Harju vald</c:v>
                </c:pt>
                <c:pt idx="54">
                  <c:v>Rapla vald</c:v>
                </c:pt>
                <c:pt idx="55">
                  <c:v>Raasiku vald</c:v>
                </c:pt>
                <c:pt idx="56">
                  <c:v>Haapsalu linn</c:v>
                </c:pt>
                <c:pt idx="57">
                  <c:v>Saaremaa vald</c:v>
                </c:pt>
                <c:pt idx="58">
                  <c:v>Jõhvi vald</c:v>
                </c:pt>
                <c:pt idx="59">
                  <c:v>Alutaguse vald</c:v>
                </c:pt>
                <c:pt idx="60">
                  <c:v>Paide linn</c:v>
                </c:pt>
                <c:pt idx="61">
                  <c:v>Kiili vald</c:v>
                </c:pt>
                <c:pt idx="62">
                  <c:v>Tartu linn</c:v>
                </c:pt>
                <c:pt idx="63">
                  <c:v>Maardu linn</c:v>
                </c:pt>
                <c:pt idx="64">
                  <c:v>Keila linn</c:v>
                </c:pt>
                <c:pt idx="65">
                  <c:v>Saue vald</c:v>
                </c:pt>
                <c:pt idx="66">
                  <c:v>Toila vald</c:v>
                </c:pt>
                <c:pt idx="67">
                  <c:v>Rae vald</c:v>
                </c:pt>
                <c:pt idx="68">
                  <c:v>Haljala vald</c:v>
                </c:pt>
                <c:pt idx="69">
                  <c:v>Saku vald</c:v>
                </c:pt>
                <c:pt idx="70">
                  <c:v>Jõelähtme vald</c:v>
                </c:pt>
                <c:pt idx="71">
                  <c:v>Harku vald</c:v>
                </c:pt>
                <c:pt idx="72">
                  <c:v>Muhu vald</c:v>
                </c:pt>
                <c:pt idx="73">
                  <c:v>Hiiumaa vald</c:v>
                </c:pt>
                <c:pt idx="74">
                  <c:v>Tallinna linn</c:v>
                </c:pt>
                <c:pt idx="75">
                  <c:v>Viimsi vald</c:v>
                </c:pt>
                <c:pt idx="76">
                  <c:v>Kihnu vald</c:v>
                </c:pt>
              </c:strCache>
            </c:strRef>
          </c:cat>
          <c:val>
            <c:numRef>
              <c:f>Tasandusfond!$FE$4:$FE$80</c:f>
              <c:numCache>
                <c:formatCode>0.00</c:formatCode>
                <c:ptCount val="77"/>
                <c:pt idx="0">
                  <c:v>0.98</c:v>
                </c:pt>
                <c:pt idx="1">
                  <c:v>0.98</c:v>
                </c:pt>
                <c:pt idx="2">
                  <c:v>0.98</c:v>
                </c:pt>
                <c:pt idx="3">
                  <c:v>0.98</c:v>
                </c:pt>
                <c:pt idx="4">
                  <c:v>0.98</c:v>
                </c:pt>
                <c:pt idx="5">
                  <c:v>0.98</c:v>
                </c:pt>
                <c:pt idx="6">
                  <c:v>0.98</c:v>
                </c:pt>
                <c:pt idx="7">
                  <c:v>0.98</c:v>
                </c:pt>
                <c:pt idx="8">
                  <c:v>0.98</c:v>
                </c:pt>
                <c:pt idx="9">
                  <c:v>0.98</c:v>
                </c:pt>
                <c:pt idx="10">
                  <c:v>0.98</c:v>
                </c:pt>
                <c:pt idx="11">
                  <c:v>0.98</c:v>
                </c:pt>
                <c:pt idx="12">
                  <c:v>0.98</c:v>
                </c:pt>
                <c:pt idx="13">
                  <c:v>0.98</c:v>
                </c:pt>
                <c:pt idx="14">
                  <c:v>0.98</c:v>
                </c:pt>
                <c:pt idx="15">
                  <c:v>0.98</c:v>
                </c:pt>
                <c:pt idx="16">
                  <c:v>0.98</c:v>
                </c:pt>
                <c:pt idx="17">
                  <c:v>0.98</c:v>
                </c:pt>
                <c:pt idx="18">
                  <c:v>0.99</c:v>
                </c:pt>
                <c:pt idx="19">
                  <c:v>0.99</c:v>
                </c:pt>
                <c:pt idx="20">
                  <c:v>0.99</c:v>
                </c:pt>
                <c:pt idx="21">
                  <c:v>0.99</c:v>
                </c:pt>
                <c:pt idx="22">
                  <c:v>0.99</c:v>
                </c:pt>
                <c:pt idx="23">
                  <c:v>0.99</c:v>
                </c:pt>
                <c:pt idx="24">
                  <c:v>0.99</c:v>
                </c:pt>
                <c:pt idx="25">
                  <c:v>0.99</c:v>
                </c:pt>
                <c:pt idx="26">
                  <c:v>0.99</c:v>
                </c:pt>
                <c:pt idx="27">
                  <c:v>0.99</c:v>
                </c:pt>
                <c:pt idx="28">
                  <c:v>0.99</c:v>
                </c:pt>
                <c:pt idx="29">
                  <c:v>0.99</c:v>
                </c:pt>
                <c:pt idx="30">
                  <c:v>0.99</c:v>
                </c:pt>
                <c:pt idx="31">
                  <c:v>0.99</c:v>
                </c:pt>
                <c:pt idx="32">
                  <c:v>0.99</c:v>
                </c:pt>
                <c:pt idx="33">
                  <c:v>0.99</c:v>
                </c:pt>
                <c:pt idx="34">
                  <c:v>0.99</c:v>
                </c:pt>
                <c:pt idx="35">
                  <c:v>0.99</c:v>
                </c:pt>
                <c:pt idx="36">
                  <c:v>0.99</c:v>
                </c:pt>
                <c:pt idx="37">
                  <c:v>0.99</c:v>
                </c:pt>
                <c:pt idx="38">
                  <c:v>0.99</c:v>
                </c:pt>
                <c:pt idx="39">
                  <c:v>0.99</c:v>
                </c:pt>
                <c:pt idx="40">
                  <c:v>0.99</c:v>
                </c:pt>
                <c:pt idx="41">
                  <c:v>0.99</c:v>
                </c:pt>
                <c:pt idx="42">
                  <c:v>0.99</c:v>
                </c:pt>
                <c:pt idx="43">
                  <c:v>0.99</c:v>
                </c:pt>
                <c:pt idx="44">
                  <c:v>0.99</c:v>
                </c:pt>
                <c:pt idx="45">
                  <c:v>0.99</c:v>
                </c:pt>
                <c:pt idx="46">
                  <c:v>0.99</c:v>
                </c:pt>
                <c:pt idx="47">
                  <c:v>0.99</c:v>
                </c:pt>
                <c:pt idx="48">
                  <c:v>0.99</c:v>
                </c:pt>
                <c:pt idx="49">
                  <c:v>1</c:v>
                </c:pt>
                <c:pt idx="50">
                  <c:v>1</c:v>
                </c:pt>
                <c:pt idx="51">
                  <c:v>1</c:v>
                </c:pt>
                <c:pt idx="52">
                  <c:v>1</c:v>
                </c:pt>
                <c:pt idx="53">
                  <c:v>1</c:v>
                </c:pt>
                <c:pt idx="54">
                  <c:v>1</c:v>
                </c:pt>
                <c:pt idx="55">
                  <c:v>1</c:v>
                </c:pt>
                <c:pt idx="56">
                  <c:v>1</c:v>
                </c:pt>
                <c:pt idx="57">
                  <c:v>1</c:v>
                </c:pt>
                <c:pt idx="58">
                  <c:v>1</c:v>
                </c:pt>
                <c:pt idx="59">
                  <c:v>1</c:v>
                </c:pt>
                <c:pt idx="60">
                  <c:v>1</c:v>
                </c:pt>
                <c:pt idx="61">
                  <c:v>1.01</c:v>
                </c:pt>
                <c:pt idx="62">
                  <c:v>1.04</c:v>
                </c:pt>
                <c:pt idx="63">
                  <c:v>1.05</c:v>
                </c:pt>
                <c:pt idx="64">
                  <c:v>1.06</c:v>
                </c:pt>
                <c:pt idx="65">
                  <c:v>1.07</c:v>
                </c:pt>
                <c:pt idx="66">
                  <c:v>1.08</c:v>
                </c:pt>
                <c:pt idx="67">
                  <c:v>1.08</c:v>
                </c:pt>
                <c:pt idx="68">
                  <c:v>1.0900000000000001</c:v>
                </c:pt>
                <c:pt idx="69">
                  <c:v>1.0900000000000001</c:v>
                </c:pt>
                <c:pt idx="70">
                  <c:v>1.1299999999999999</c:v>
                </c:pt>
                <c:pt idx="71">
                  <c:v>1.19</c:v>
                </c:pt>
                <c:pt idx="72">
                  <c:v>1.22</c:v>
                </c:pt>
                <c:pt idx="73">
                  <c:v>1.26</c:v>
                </c:pt>
                <c:pt idx="74">
                  <c:v>1.26</c:v>
                </c:pt>
                <c:pt idx="75">
                  <c:v>1.33</c:v>
                </c:pt>
                <c:pt idx="76">
                  <c:v>1.34</c:v>
                </c:pt>
              </c:numCache>
            </c:numRef>
          </c:val>
          <c:smooth val="0"/>
          <c:extLst>
            <c:ext xmlns:c16="http://schemas.microsoft.com/office/drawing/2014/chart" uri="{C3380CC4-5D6E-409C-BE32-E72D297353CC}">
              <c16:uniqueId val="{0000000C-A664-4005-B8E3-AB2CF0E623D7}"/>
            </c:ext>
          </c:extLst>
        </c:ser>
        <c:dLbls>
          <c:showLegendKey val="0"/>
          <c:showVal val="0"/>
          <c:showCatName val="0"/>
          <c:showSerName val="0"/>
          <c:showPercent val="0"/>
          <c:showBubbleSize val="0"/>
        </c:dLbls>
        <c:marker val="1"/>
        <c:smooth val="0"/>
        <c:axId val="728549632"/>
        <c:axId val="728546272"/>
      </c:lineChart>
      <c:catAx>
        <c:axId val="7285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8546272"/>
        <c:crosses val="autoZero"/>
        <c:auto val="1"/>
        <c:lblAlgn val="ctr"/>
        <c:lblOffset val="100"/>
        <c:noMultiLvlLbl val="0"/>
      </c:catAx>
      <c:valAx>
        <c:axId val="728546272"/>
        <c:scaling>
          <c:orientation val="minMax"/>
          <c:min val="0.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854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C1CFB-A404-4C05-8EFE-8CB8CD68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4532</Words>
  <Characters>26286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Maaeluministeerium</Company>
  <LinksUpToDate>false</LinksUpToDate>
  <CharactersWithSpaces>30757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Sulev Liivik</dc:creator>
  <cp:keywords/>
  <dc:description/>
  <cp:lastModifiedBy>Sulev Liivik</cp:lastModifiedBy>
  <cp:revision>5</cp:revision>
  <dcterms:created xsi:type="dcterms:W3CDTF">2024-04-12T09:15:00Z</dcterms:created>
  <dcterms:modified xsi:type="dcterms:W3CDTF">2024-04-12T12:52:00Z</dcterms:modified>
</cp:coreProperties>
</file>