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65D90" w14:textId="43E48425" w:rsidR="002651FB" w:rsidRPr="006D15DA" w:rsidRDefault="002651FB" w:rsidP="002651FB">
      <w:pPr>
        <w:pStyle w:val="Kehatekst"/>
        <w:rPr>
          <w:lang w:val="et-EE"/>
        </w:rPr>
      </w:pPr>
      <w:r w:rsidRPr="006D15DA">
        <w:rPr>
          <w:rStyle w:val="Tugev"/>
          <w:lang w:val="et-EE"/>
        </w:rPr>
        <w:t>ELVL ettepanekud 202</w:t>
      </w:r>
      <w:r w:rsidR="001D222A">
        <w:rPr>
          <w:rStyle w:val="Tugev"/>
          <w:lang w:val="et-EE"/>
        </w:rPr>
        <w:t>1</w:t>
      </w:r>
      <w:r w:rsidR="0053333E">
        <w:rPr>
          <w:rStyle w:val="Tugev"/>
          <w:lang w:val="et-EE"/>
        </w:rPr>
        <w:t xml:space="preserve"> </w:t>
      </w:r>
      <w:r w:rsidRPr="006D15DA">
        <w:rPr>
          <w:rStyle w:val="Tugev"/>
          <w:lang w:val="et-EE"/>
        </w:rPr>
        <w:t>eelarveläbirääkimistele</w:t>
      </w:r>
    </w:p>
    <w:p w14:paraId="4C10241F" w14:textId="77777777" w:rsidR="00E73A00" w:rsidRPr="006D15DA" w:rsidRDefault="002651FB" w:rsidP="002651FB">
      <w:pPr>
        <w:pStyle w:val="Kehatekst"/>
        <w:rPr>
          <w:lang w:val="et-EE"/>
        </w:rPr>
      </w:pPr>
      <w:bookmarkStart w:id="0" w:name="rahandus"/>
      <w:bookmarkEnd w:id="0"/>
      <w:r w:rsidRPr="006D15DA">
        <w:rPr>
          <w:rStyle w:val="Tugev"/>
          <w:lang w:val="et-EE"/>
        </w:rPr>
        <w:t>Rahanduse valdkond</w:t>
      </w:r>
      <w:bookmarkStart w:id="1" w:name="_GoBack"/>
      <w:bookmarkEnd w:id="1"/>
    </w:p>
    <w:tbl>
      <w:tblPr>
        <w:tblW w:w="9525" w:type="dxa"/>
        <w:tblInd w:w="28" w:type="dxa"/>
        <w:tblLayout w:type="fixed"/>
        <w:tblCellMar>
          <w:top w:w="28" w:type="dxa"/>
          <w:left w:w="28" w:type="dxa"/>
          <w:bottom w:w="28" w:type="dxa"/>
          <w:right w:w="28" w:type="dxa"/>
        </w:tblCellMar>
        <w:tblLook w:val="0000" w:firstRow="0" w:lastRow="0" w:firstColumn="0" w:lastColumn="0" w:noHBand="0" w:noVBand="0"/>
      </w:tblPr>
      <w:tblGrid>
        <w:gridCol w:w="3225"/>
        <w:gridCol w:w="6300"/>
      </w:tblGrid>
      <w:tr w:rsidR="00E73A00" w:rsidRPr="006D15DA" w14:paraId="010233DD" w14:textId="77777777" w:rsidTr="00E73A00">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224685B1" w14:textId="77777777" w:rsidR="00E73A00" w:rsidRPr="006D15DA" w:rsidRDefault="00E73A00" w:rsidP="006D15DA">
            <w:pPr>
              <w:rPr>
                <w:rStyle w:val="Tugev"/>
                <w:lang w:val="et-EE"/>
              </w:rPr>
            </w:pPr>
            <w:r>
              <w:rPr>
                <w:rStyle w:val="Tugev"/>
                <w:lang w:val="et-EE"/>
              </w:rPr>
              <w:t>ELVL ettepanekud</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06839545" w14:textId="77777777" w:rsidR="00E73A00" w:rsidRPr="00E73A00" w:rsidRDefault="00E73A00" w:rsidP="006D15DA">
            <w:pPr>
              <w:rPr>
                <w:b/>
                <w:bCs/>
                <w:lang w:val="et-EE"/>
              </w:rPr>
            </w:pPr>
            <w:r w:rsidRPr="00E73A00">
              <w:rPr>
                <w:b/>
                <w:bCs/>
                <w:lang w:val="et-EE"/>
              </w:rPr>
              <w:t>Põhjendus</w:t>
            </w:r>
          </w:p>
        </w:tc>
      </w:tr>
      <w:tr w:rsidR="002651FB" w:rsidRPr="006D15DA" w14:paraId="423C7923" w14:textId="77777777" w:rsidTr="00E73A00">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4C8C56D0" w14:textId="77777777" w:rsidR="002651FB" w:rsidRPr="006D15DA" w:rsidRDefault="002651FB" w:rsidP="006D15DA">
            <w:pPr>
              <w:rPr>
                <w:lang w:val="et-EE"/>
              </w:rPr>
            </w:pPr>
            <w:r w:rsidRPr="006D15DA">
              <w:rPr>
                <w:rStyle w:val="Tugev"/>
                <w:lang w:val="et-EE"/>
              </w:rPr>
              <w:t>Ettepanek 1</w:t>
            </w:r>
          </w:p>
          <w:p w14:paraId="3EEB45E0" w14:textId="77777777" w:rsidR="002651FB" w:rsidRPr="006D15DA" w:rsidRDefault="002651FB" w:rsidP="006D15DA">
            <w:pPr>
              <w:rPr>
                <w:lang w:val="et-EE"/>
              </w:rPr>
            </w:pPr>
            <w:r w:rsidRPr="006D15DA">
              <w:rPr>
                <w:lang w:val="et-EE"/>
              </w:rPr>
              <w:t>Kompenseerida kohalikele omavalitsustele riiklikult korraldatavate ürituste kulud.</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62E47F49" w14:textId="77777777" w:rsidR="002651FB" w:rsidRPr="006D15DA" w:rsidRDefault="002651FB" w:rsidP="006D15DA">
            <w:pPr>
              <w:rPr>
                <w:lang w:val="et-EE"/>
              </w:rPr>
            </w:pPr>
            <w:r w:rsidRPr="006D15DA">
              <w:rPr>
                <w:lang w:val="et-EE"/>
              </w:rPr>
              <w:t>Valituskomisjon on läbirääkimistel teinud ettepaneku esitada riigiorganitele arved omavalitsustel tekkivate kulude katteks  riiklike ja rahvusvaheliste ürituste korraldamisel. Riiklikud ürituste korraldajad ei hüvita aga omavalitsustele ürituste korraldamisega seotud kulusid piisaval määral ja  põhjendavad seda vahendite puudumisega.</w:t>
            </w:r>
          </w:p>
          <w:p w14:paraId="72F3F659" w14:textId="77777777" w:rsidR="002651FB" w:rsidRDefault="002651FB" w:rsidP="006D15DA">
            <w:pPr>
              <w:rPr>
                <w:lang w:val="et-EE"/>
              </w:rPr>
            </w:pPr>
            <w:r w:rsidRPr="006D15DA">
              <w:rPr>
                <w:lang w:val="et-EE"/>
              </w:rPr>
              <w:t>Ei ole õiglane katta üleriigiliste ja rahvusvaheliste üritustega kaasnevaid kulusid omavalituste tulude arvel, mis niigi on ebapiisavad neile pandud ülesannete täitmiseks. Tallinna kui pealinna kulutused on suuremad kui maakonnakeskustel.</w:t>
            </w:r>
          </w:p>
          <w:p w14:paraId="143EA494" w14:textId="77777777" w:rsidR="00E73A00" w:rsidRPr="006D15DA" w:rsidRDefault="00E73A00" w:rsidP="006D15DA">
            <w:pPr>
              <w:rPr>
                <w:lang w:val="et-EE"/>
              </w:rPr>
            </w:pPr>
          </w:p>
        </w:tc>
      </w:tr>
      <w:tr w:rsidR="002F4E12" w:rsidRPr="006D15DA" w14:paraId="1469E37C" w14:textId="77777777" w:rsidTr="00E73A00">
        <w:tc>
          <w:tcPr>
            <w:tcW w:w="3225" w:type="dxa"/>
            <w:tcBorders>
              <w:top w:val="single" w:sz="4" w:space="0" w:color="auto"/>
              <w:left w:val="single" w:sz="6" w:space="0" w:color="808080"/>
              <w:bottom w:val="single" w:sz="6" w:space="0" w:color="808080"/>
              <w:right w:val="single" w:sz="4" w:space="0" w:color="auto"/>
            </w:tcBorders>
            <w:shd w:val="clear" w:color="auto" w:fill="auto"/>
            <w:vAlign w:val="center"/>
          </w:tcPr>
          <w:p w14:paraId="25001679" w14:textId="77777777" w:rsidR="002F4E12" w:rsidRPr="006D15DA" w:rsidRDefault="002F4E12" w:rsidP="006D15DA">
            <w:pPr>
              <w:rPr>
                <w:lang w:val="et-EE"/>
              </w:rPr>
            </w:pPr>
            <w:r w:rsidRPr="006D15DA">
              <w:rPr>
                <w:rStyle w:val="Tugev"/>
                <w:lang w:val="et-EE"/>
              </w:rPr>
              <w:t>Ettepanek 2</w:t>
            </w:r>
          </w:p>
          <w:p w14:paraId="0F6AE2DF" w14:textId="77777777" w:rsidR="002F4E12" w:rsidRPr="006D15DA" w:rsidRDefault="002F4E12" w:rsidP="006D15DA">
            <w:pPr>
              <w:rPr>
                <w:lang w:val="et-EE"/>
              </w:rPr>
            </w:pPr>
            <w:r w:rsidRPr="006D15DA">
              <w:rPr>
                <w:lang w:val="et-EE"/>
              </w:rPr>
              <w:t xml:space="preserve">Tagada Riigikohtu üldkogu 16. märtsi 2010 kohtuotsuse nr </w:t>
            </w:r>
            <w:hyperlink r:id="rId5" w:history="1">
              <w:r w:rsidRPr="006D15DA">
                <w:rPr>
                  <w:rStyle w:val="Hperlink"/>
                  <w:lang w:val="et-EE"/>
                </w:rPr>
                <w:t>3-4-1-8-09</w:t>
              </w:r>
            </w:hyperlink>
            <w:r w:rsidRPr="006D15DA">
              <w:rPr>
                <w:lang w:val="et-EE"/>
              </w:rPr>
              <w:t xml:space="preserve"> täitmine.</w:t>
            </w:r>
          </w:p>
          <w:p w14:paraId="128E405C" w14:textId="77777777" w:rsidR="002F4E12" w:rsidRPr="006D15DA" w:rsidRDefault="002F4E12" w:rsidP="006D15DA">
            <w:pPr>
              <w:rPr>
                <w:rStyle w:val="Tugev"/>
                <w:b w:val="0"/>
                <w:bCs w:val="0"/>
                <w:lang w:val="et-EE"/>
              </w:rPr>
            </w:pPr>
          </w:p>
        </w:tc>
        <w:tc>
          <w:tcPr>
            <w:tcW w:w="6300" w:type="dxa"/>
            <w:tcBorders>
              <w:top w:val="single" w:sz="4" w:space="0" w:color="auto"/>
              <w:left w:val="single" w:sz="4" w:space="0" w:color="auto"/>
              <w:bottom w:val="single" w:sz="6" w:space="0" w:color="808080"/>
              <w:right w:val="single" w:sz="4" w:space="0" w:color="auto"/>
            </w:tcBorders>
            <w:shd w:val="clear" w:color="auto" w:fill="auto"/>
            <w:vAlign w:val="center"/>
          </w:tcPr>
          <w:p w14:paraId="7647B780" w14:textId="77777777" w:rsidR="002F4E12" w:rsidRPr="006D15DA" w:rsidRDefault="002F4E12" w:rsidP="006D15DA">
            <w:pPr>
              <w:rPr>
                <w:lang w:val="et-EE"/>
              </w:rPr>
            </w:pPr>
            <w:r w:rsidRPr="006D15DA">
              <w:rPr>
                <w:lang w:val="et-EE"/>
              </w:rPr>
              <w:t>Antud Riigikohtu otsusega tunnistati põhiseadusega vastuolus olevaks selliste õigus</w:t>
            </w:r>
            <w:r w:rsidR="006D15DA">
              <w:rPr>
                <w:lang w:val="et-EE"/>
              </w:rPr>
              <w:t xml:space="preserve">t </w:t>
            </w:r>
            <w:r w:rsidRPr="006D15DA">
              <w:rPr>
                <w:lang w:val="et-EE"/>
              </w:rPr>
              <w:t>loovate aktide andmata jätmine, mis sätestaksid, millised seadusega kohaliku omavalitsuse üksustele pandud kohustused on omavalitsuslikud ja millised riiklikud ja eristaksid kohaliku omavalitsuse üksustele kohaliku elu küsimuste otsustamiseks ja korraldamiseks ette nähtud raha riiklike kohustuste täitmiseks mõeldud rahast ning näeksid ette kohaliku omavalitsuse üksustele seadusega pandud riiklike kohustuste rahastamise riigieelarvest.</w:t>
            </w:r>
          </w:p>
          <w:p w14:paraId="38579E8A" w14:textId="77777777" w:rsidR="002F4E12" w:rsidRPr="006D15DA" w:rsidRDefault="002F4E12" w:rsidP="006D15DA">
            <w:pPr>
              <w:rPr>
                <w:lang w:val="et-EE"/>
              </w:rPr>
            </w:pPr>
            <w:r w:rsidRPr="006D15DA">
              <w:rPr>
                <w:lang w:val="et-EE"/>
              </w:rPr>
              <w:t xml:space="preserve">Tegelikkuses on andmata õigusakt millega on määratud omavalitsuste tulud </w:t>
            </w:r>
            <w:proofErr w:type="spellStart"/>
            <w:r w:rsidRPr="006D15DA">
              <w:rPr>
                <w:lang w:val="et-EE"/>
              </w:rPr>
              <w:t>KOKS'iga</w:t>
            </w:r>
            <w:proofErr w:type="spellEnd"/>
            <w:r w:rsidRPr="006D15DA">
              <w:rPr>
                <w:lang w:val="et-EE"/>
              </w:rPr>
              <w:t xml:space="preserve"> sätestatud omavalitsuslike ja kohalikule omavalitsusele ainuomaste ülesannete täitmiseks.</w:t>
            </w:r>
          </w:p>
        </w:tc>
      </w:tr>
      <w:tr w:rsidR="002F4E12" w:rsidRPr="006D15DA" w14:paraId="7A898B66" w14:textId="77777777" w:rsidTr="00E73A00">
        <w:tc>
          <w:tcPr>
            <w:tcW w:w="3225" w:type="dxa"/>
            <w:tcBorders>
              <w:left w:val="single" w:sz="6" w:space="0" w:color="808080"/>
              <w:bottom w:val="single" w:sz="6" w:space="0" w:color="808080"/>
              <w:right w:val="single" w:sz="4" w:space="0" w:color="auto"/>
            </w:tcBorders>
            <w:shd w:val="clear" w:color="auto" w:fill="auto"/>
            <w:vAlign w:val="center"/>
          </w:tcPr>
          <w:p w14:paraId="3D48CD3C" w14:textId="77777777" w:rsidR="001149D9" w:rsidRPr="006D15DA" w:rsidRDefault="002F4E12" w:rsidP="006D15DA">
            <w:pPr>
              <w:rPr>
                <w:rStyle w:val="Tugev"/>
                <w:rFonts w:ascii="Times New Roman" w:hAnsi="Times New Roman" w:cs="Times New Roman"/>
                <w:lang w:val="et-EE"/>
              </w:rPr>
            </w:pPr>
            <w:r w:rsidRPr="006D15DA">
              <w:rPr>
                <w:rStyle w:val="Tugev"/>
                <w:rFonts w:ascii="Times New Roman" w:hAnsi="Times New Roman" w:cs="Times New Roman"/>
                <w:lang w:val="et-EE"/>
              </w:rPr>
              <w:t>Ettepanek 3</w:t>
            </w:r>
          </w:p>
          <w:p w14:paraId="2CF651B0" w14:textId="77777777" w:rsidR="002F4E12" w:rsidRPr="006D15DA" w:rsidRDefault="001149D9" w:rsidP="006D15DA">
            <w:pPr>
              <w:rPr>
                <w:rFonts w:ascii="Times New Roman" w:hAnsi="Times New Roman" w:cs="Times New Roman"/>
                <w:spacing w:val="-4"/>
                <w:lang w:val="et-EE"/>
              </w:rPr>
            </w:pPr>
            <w:r w:rsidRPr="006D15DA">
              <w:rPr>
                <w:rFonts w:ascii="Times New Roman" w:hAnsi="Times New Roman" w:cs="Times New Roman"/>
                <w:spacing w:val="-4"/>
                <w:lang w:val="et-EE"/>
              </w:rPr>
              <w:t>Võtta täiendavaid meetmeid tagamaks registreeritud elukoha vastavus tegelikule.</w:t>
            </w:r>
          </w:p>
          <w:p w14:paraId="00A88D15" w14:textId="77777777" w:rsidR="001149D9" w:rsidRPr="006D15DA" w:rsidRDefault="001149D9" w:rsidP="006D15DA">
            <w:pPr>
              <w:rPr>
                <w:rStyle w:val="Tugev"/>
                <w:rFonts w:ascii="Times New Roman" w:hAnsi="Times New Roman" w:cs="Times New Roman"/>
                <w:b w:val="0"/>
                <w:bCs w:val="0"/>
                <w:lang w:val="et-EE"/>
              </w:rPr>
            </w:pPr>
            <w:r w:rsidRPr="006D15DA">
              <w:rPr>
                <w:rFonts w:ascii="Times New Roman" w:hAnsi="Times New Roman" w:cs="Times New Roman"/>
                <w:color w:val="222222"/>
                <w:shd w:val="clear" w:color="auto" w:fill="FFFFFF"/>
                <w:lang w:val="et-EE"/>
              </w:rPr>
              <w:t>Viia sisse täiendav norm, mis sätestaks, et tudengite puhul tuleb mitme erinevas linnas või vallas asuva elukoha korral arvestada peamise elukohana selle omavalitsuse territooriumil asuvat elukohta, kus ta ajaliselt rohkem viibib.</w:t>
            </w:r>
          </w:p>
        </w:tc>
        <w:tc>
          <w:tcPr>
            <w:tcW w:w="6300" w:type="dxa"/>
            <w:tcBorders>
              <w:left w:val="single" w:sz="4" w:space="0" w:color="auto"/>
              <w:bottom w:val="single" w:sz="6" w:space="0" w:color="808080"/>
              <w:right w:val="single" w:sz="4" w:space="0" w:color="auto"/>
            </w:tcBorders>
            <w:shd w:val="clear" w:color="auto" w:fill="auto"/>
            <w:vAlign w:val="center"/>
          </w:tcPr>
          <w:p w14:paraId="5D38FE52" w14:textId="77777777" w:rsidR="002F4E12" w:rsidRPr="006D15DA" w:rsidRDefault="001149D9" w:rsidP="006D15DA">
            <w:pPr>
              <w:rPr>
                <w:rFonts w:ascii="Times New Roman" w:hAnsi="Times New Roman" w:cs="Times New Roman"/>
                <w:lang w:val="et-EE"/>
              </w:rPr>
            </w:pPr>
            <w:r w:rsidRPr="006D15DA">
              <w:rPr>
                <w:rFonts w:ascii="Times New Roman" w:hAnsi="Times New Roman" w:cs="Times New Roman"/>
                <w:lang w:val="et-EE"/>
              </w:rPr>
              <w:t>Rahvastikuregistri andmetel on õiguslik tähendus mh nii omavalitsuse eelarvesse laekuvate maksude tasumisel kui ka avaliku ülesande täitmisel, kui selle ülesande täitmine on elukohajärgsusega seotud.</w:t>
            </w:r>
          </w:p>
          <w:p w14:paraId="6E81899F" w14:textId="77777777" w:rsidR="001149D9" w:rsidRPr="006D15DA" w:rsidRDefault="001149D9" w:rsidP="006D15DA">
            <w:pPr>
              <w:rPr>
                <w:rFonts w:ascii="Times New Roman" w:hAnsi="Times New Roman" w:cs="Times New Roman"/>
                <w:lang w:val="et-EE"/>
              </w:rPr>
            </w:pPr>
            <w:r w:rsidRPr="006D15DA">
              <w:rPr>
                <w:rFonts w:ascii="Times New Roman" w:hAnsi="Times New Roman" w:cs="Times New Roman"/>
                <w:lang w:val="et-EE"/>
              </w:rPr>
              <w:t>Kui tudeng viibib esmaspäevast reedeni näiteks  Tartus, kuid sõidab nädalavahetuseti koju, on ta reaalselt rohkem seotud Tartuga.</w:t>
            </w:r>
          </w:p>
        </w:tc>
      </w:tr>
      <w:tr w:rsidR="002F4E12" w:rsidRPr="006D15DA" w14:paraId="146872CE" w14:textId="77777777" w:rsidTr="00E73A00">
        <w:tc>
          <w:tcPr>
            <w:tcW w:w="3225" w:type="dxa"/>
            <w:tcBorders>
              <w:left w:val="single" w:sz="6" w:space="0" w:color="808080"/>
              <w:bottom w:val="single" w:sz="6" w:space="0" w:color="808080"/>
              <w:right w:val="single" w:sz="4" w:space="0" w:color="auto"/>
            </w:tcBorders>
            <w:shd w:val="clear" w:color="auto" w:fill="auto"/>
            <w:vAlign w:val="center"/>
          </w:tcPr>
          <w:p w14:paraId="09B5C4F7" w14:textId="77777777" w:rsidR="002F4E12" w:rsidRPr="006D15DA" w:rsidRDefault="001149D9" w:rsidP="006D15DA">
            <w:pPr>
              <w:rPr>
                <w:rStyle w:val="Tugev"/>
                <w:lang w:val="et-EE"/>
              </w:rPr>
            </w:pPr>
            <w:r w:rsidRPr="006D15DA">
              <w:rPr>
                <w:rStyle w:val="Tugev"/>
                <w:lang w:val="et-EE"/>
              </w:rPr>
              <w:t>Ettepanek 4</w:t>
            </w:r>
          </w:p>
          <w:p w14:paraId="1D51E36B" w14:textId="77777777" w:rsidR="001149D9" w:rsidRPr="006D15DA" w:rsidRDefault="001149D9" w:rsidP="006D15DA">
            <w:pPr>
              <w:rPr>
                <w:lang w:val="et-EE"/>
              </w:rPr>
            </w:pPr>
            <w:r w:rsidRPr="006D15DA">
              <w:rPr>
                <w:lang w:val="et-EE"/>
              </w:rPr>
              <w:t>Vaadata üle KOFS-i finantsdistsipliini näitajad.</w:t>
            </w:r>
          </w:p>
          <w:p w14:paraId="698E2F60" w14:textId="77777777" w:rsidR="001149D9" w:rsidRPr="006D15DA" w:rsidRDefault="006D15DA" w:rsidP="006D15DA">
            <w:pPr>
              <w:rPr>
                <w:lang w:val="et-EE"/>
              </w:rPr>
            </w:pPr>
            <w:r w:rsidRPr="006D15DA">
              <w:rPr>
                <w:lang w:val="et-EE"/>
              </w:rPr>
              <w:t xml:space="preserve">1) </w:t>
            </w:r>
            <w:r w:rsidR="001149D9" w:rsidRPr="006D15DA">
              <w:rPr>
                <w:lang w:val="et-EE"/>
              </w:rPr>
              <w:t xml:space="preserve"> Võimalusel arvestada laenukohustuste tagasimakse tähtaega, kaaluda netovõlakoormuse 60% reegli põhjendatust (miks mitte nt 70%  </w:t>
            </w:r>
            <w:r w:rsidRPr="006D15DA">
              <w:rPr>
                <w:lang w:val="et-EE"/>
              </w:rPr>
              <w:t>-</w:t>
            </w:r>
            <w:r w:rsidR="001149D9" w:rsidRPr="006D15DA">
              <w:rPr>
                <w:lang w:val="et-EE"/>
              </w:rPr>
              <w:t xml:space="preserve">puudub majandusteoreetiline </w:t>
            </w:r>
            <w:r w:rsidR="001149D9" w:rsidRPr="006D15DA">
              <w:rPr>
                <w:lang w:val="et-EE"/>
              </w:rPr>
              <w:lastRenderedPageBreak/>
              <w:t>põhjendatus, miks just 60% on optimaalne).</w:t>
            </w:r>
          </w:p>
          <w:p w14:paraId="0EBC55DD" w14:textId="77777777" w:rsidR="001149D9" w:rsidRPr="006D15DA" w:rsidRDefault="006D15DA" w:rsidP="006D15DA">
            <w:pPr>
              <w:rPr>
                <w:lang w:val="et-EE"/>
              </w:rPr>
            </w:pPr>
            <w:r w:rsidRPr="006D15DA">
              <w:rPr>
                <w:lang w:val="et-EE"/>
              </w:rPr>
              <w:t xml:space="preserve">2)  </w:t>
            </w:r>
            <w:r w:rsidR="001149D9" w:rsidRPr="006D15DA">
              <w:rPr>
                <w:lang w:val="et-EE"/>
              </w:rPr>
              <w:t xml:space="preserve"> Kui KOV üksuse laenud jäävad KOFS-</w:t>
            </w:r>
            <w:proofErr w:type="spellStart"/>
            <w:r w:rsidR="001149D9" w:rsidRPr="006D15DA">
              <w:rPr>
                <w:lang w:val="et-EE"/>
              </w:rPr>
              <w:t>is</w:t>
            </w:r>
            <w:proofErr w:type="spellEnd"/>
            <w:r w:rsidR="001149D9" w:rsidRPr="006D15DA">
              <w:rPr>
                <w:lang w:val="et-EE"/>
              </w:rPr>
              <w:t xml:space="preserve"> sätestatu piiresse, võiks riik neid tagada. Praegu pole intressimäärad probleemiks, kuid kui finantsturgudel taastub normaalne olukord, võib KOV üksuse laenu riigipoolne tagamine tuua laenuraha odavamalt kätte.</w:t>
            </w:r>
          </w:p>
          <w:p w14:paraId="6A36A68C" w14:textId="77777777" w:rsidR="001149D9" w:rsidRPr="006D15DA" w:rsidRDefault="001149D9" w:rsidP="006D15DA">
            <w:pPr>
              <w:rPr>
                <w:rStyle w:val="Tugev"/>
                <w:b w:val="0"/>
                <w:bCs w:val="0"/>
                <w:lang w:val="et-EE"/>
              </w:rPr>
            </w:pPr>
          </w:p>
        </w:tc>
        <w:tc>
          <w:tcPr>
            <w:tcW w:w="6300" w:type="dxa"/>
            <w:tcBorders>
              <w:left w:val="single" w:sz="4" w:space="0" w:color="auto"/>
              <w:bottom w:val="single" w:sz="6" w:space="0" w:color="808080"/>
              <w:right w:val="single" w:sz="4" w:space="0" w:color="auto"/>
            </w:tcBorders>
            <w:shd w:val="clear" w:color="auto" w:fill="auto"/>
            <w:vAlign w:val="center"/>
          </w:tcPr>
          <w:p w14:paraId="4DA02997" w14:textId="77777777" w:rsidR="002F4E12" w:rsidRPr="006D15DA" w:rsidRDefault="006D15DA" w:rsidP="006D15DA">
            <w:pPr>
              <w:rPr>
                <w:lang w:val="et-EE"/>
              </w:rPr>
            </w:pPr>
            <w:r w:rsidRPr="006D15DA">
              <w:rPr>
                <w:lang w:val="et-EE"/>
              </w:rPr>
              <w:lastRenderedPageBreak/>
              <w:t>Kui KOV üksuse laenud jäävad KOFS-</w:t>
            </w:r>
            <w:proofErr w:type="spellStart"/>
            <w:r w:rsidRPr="006D15DA">
              <w:rPr>
                <w:lang w:val="et-EE"/>
              </w:rPr>
              <w:t>is</w:t>
            </w:r>
            <w:proofErr w:type="spellEnd"/>
            <w:r w:rsidRPr="006D15DA">
              <w:rPr>
                <w:lang w:val="et-EE"/>
              </w:rPr>
              <w:t xml:space="preserve"> sätestatu piiresse, võiks riik neid tagada. Praegu pole intressimäärad probleemiks, kuid kui finantsturgudel taastub normaalne olukord, võib KOV üksuse laenu riigipoolne tagamine tuua laenuraha odavamalt kätte</w:t>
            </w:r>
          </w:p>
        </w:tc>
      </w:tr>
      <w:tr w:rsidR="00D10983" w:rsidRPr="00A70427" w14:paraId="6181941C" w14:textId="77777777" w:rsidTr="00E73A00">
        <w:tc>
          <w:tcPr>
            <w:tcW w:w="3225" w:type="dxa"/>
            <w:tcBorders>
              <w:left w:val="single" w:sz="6" w:space="0" w:color="808080"/>
              <w:bottom w:val="single" w:sz="6" w:space="0" w:color="808080"/>
              <w:right w:val="single" w:sz="4" w:space="0" w:color="auto"/>
            </w:tcBorders>
            <w:shd w:val="clear" w:color="auto" w:fill="auto"/>
          </w:tcPr>
          <w:p w14:paraId="0609005D" w14:textId="77777777" w:rsidR="00D10983" w:rsidRPr="00A70427" w:rsidRDefault="00D10983" w:rsidP="004566EF">
            <w:pPr>
              <w:rPr>
                <w:b/>
                <w:bCs/>
                <w:lang w:val="et-EE"/>
              </w:rPr>
            </w:pPr>
            <w:r w:rsidRPr="00A70427">
              <w:rPr>
                <w:b/>
                <w:bCs/>
                <w:lang w:val="et-EE"/>
              </w:rPr>
              <w:t>Ettepanek 5</w:t>
            </w:r>
          </w:p>
          <w:p w14:paraId="225F93C1" w14:textId="77777777" w:rsidR="00D10983" w:rsidRPr="00A70427" w:rsidRDefault="00D10983" w:rsidP="004566EF">
            <w:pPr>
              <w:rPr>
                <w:lang w:val="et-EE"/>
              </w:rPr>
            </w:pPr>
            <w:r w:rsidRPr="00A70427">
              <w:rPr>
                <w:lang w:val="et-EE"/>
              </w:rPr>
              <w:t>Hüvitada maadele seatud piirangute tõttu omanike vähenenud tulud otse riigieelarvest erinevate toetusmeetmete arvel.</w:t>
            </w:r>
          </w:p>
        </w:tc>
        <w:tc>
          <w:tcPr>
            <w:tcW w:w="6300" w:type="dxa"/>
            <w:tcBorders>
              <w:left w:val="single" w:sz="4" w:space="0" w:color="auto"/>
              <w:bottom w:val="single" w:sz="6" w:space="0" w:color="808080"/>
              <w:right w:val="single" w:sz="4" w:space="0" w:color="auto"/>
            </w:tcBorders>
            <w:shd w:val="clear" w:color="auto" w:fill="auto"/>
          </w:tcPr>
          <w:p w14:paraId="47B40DC8" w14:textId="77777777" w:rsidR="00D10983" w:rsidRPr="00A70427" w:rsidRDefault="00D10983" w:rsidP="004566EF">
            <w:pPr>
              <w:rPr>
                <w:lang w:val="et-EE"/>
              </w:rPr>
            </w:pPr>
            <w:r w:rsidRPr="00A70427">
              <w:rPr>
                <w:lang w:val="et-EE"/>
              </w:rPr>
              <w:t>Hüvitada maadele seatud piirangute tõttu omanike vähenenud tulud otse riigieelarvest erinevate toetusmeetmete arvel.</w:t>
            </w:r>
          </w:p>
        </w:tc>
      </w:tr>
      <w:tr w:rsidR="00D10983" w:rsidRPr="00A70427" w14:paraId="6BD809D0" w14:textId="77777777" w:rsidTr="00E73A00">
        <w:tc>
          <w:tcPr>
            <w:tcW w:w="3225" w:type="dxa"/>
            <w:tcBorders>
              <w:left w:val="single" w:sz="6" w:space="0" w:color="808080"/>
              <w:bottom w:val="single" w:sz="6" w:space="0" w:color="808080"/>
              <w:right w:val="single" w:sz="4" w:space="0" w:color="auto"/>
            </w:tcBorders>
            <w:shd w:val="clear" w:color="auto" w:fill="auto"/>
          </w:tcPr>
          <w:p w14:paraId="431BE9F0" w14:textId="77777777" w:rsidR="00D10983" w:rsidRPr="00A70427" w:rsidRDefault="00D10983" w:rsidP="00D10983">
            <w:pPr>
              <w:rPr>
                <w:b/>
                <w:bCs/>
                <w:lang w:val="et-EE"/>
              </w:rPr>
            </w:pPr>
            <w:r w:rsidRPr="00A70427">
              <w:rPr>
                <w:b/>
                <w:bCs/>
                <w:lang w:val="et-EE"/>
              </w:rPr>
              <w:t>Ettepanek 6</w:t>
            </w:r>
          </w:p>
          <w:p w14:paraId="20EA6804" w14:textId="77777777" w:rsidR="00D10983" w:rsidRPr="00A70427" w:rsidRDefault="00D10983" w:rsidP="00D10983">
            <w:pPr>
              <w:rPr>
                <w:lang w:val="et-EE"/>
              </w:rPr>
            </w:pPr>
            <w:r w:rsidRPr="00A70427">
              <w:rPr>
                <w:lang w:val="et-EE"/>
              </w:rPr>
              <w:t>Jätkata läbirääkimisi tasandusfondi valemi täiustamiseks</w:t>
            </w:r>
          </w:p>
        </w:tc>
        <w:tc>
          <w:tcPr>
            <w:tcW w:w="6300" w:type="dxa"/>
            <w:tcBorders>
              <w:left w:val="single" w:sz="4" w:space="0" w:color="auto"/>
              <w:bottom w:val="single" w:sz="4" w:space="0" w:color="auto"/>
              <w:right w:val="single" w:sz="4" w:space="0" w:color="auto"/>
            </w:tcBorders>
            <w:shd w:val="clear" w:color="auto" w:fill="auto"/>
          </w:tcPr>
          <w:p w14:paraId="5BA53466" w14:textId="77777777" w:rsidR="00D10983" w:rsidRPr="00A70427" w:rsidRDefault="00D10983" w:rsidP="00D10983">
            <w:pPr>
              <w:rPr>
                <w:lang w:val="et-EE"/>
              </w:rPr>
            </w:pPr>
            <w:r w:rsidRPr="00A70427">
              <w:rPr>
                <w:lang w:val="et-EE"/>
              </w:rPr>
              <w:t>Tasandusfon</w:t>
            </w:r>
            <w:r w:rsidR="00A70427">
              <w:rPr>
                <w:lang w:val="et-EE"/>
              </w:rPr>
              <w:t>d</w:t>
            </w:r>
            <w:r w:rsidRPr="00A70427">
              <w:rPr>
                <w:lang w:val="et-EE"/>
              </w:rPr>
              <w:t xml:space="preserve"> pea</w:t>
            </w:r>
            <w:r w:rsidR="00A70427">
              <w:rPr>
                <w:lang w:val="et-EE"/>
              </w:rPr>
              <w:t>k</w:t>
            </w:r>
            <w:r w:rsidRPr="00A70427">
              <w:rPr>
                <w:lang w:val="et-EE"/>
              </w:rPr>
              <w:t>s rohkem arvesse võtma regionaalseid erinevusi.</w:t>
            </w:r>
          </w:p>
        </w:tc>
      </w:tr>
    </w:tbl>
    <w:p w14:paraId="59FD6BD1" w14:textId="77777777" w:rsidR="002651FB" w:rsidRPr="006D15DA" w:rsidRDefault="002651FB" w:rsidP="006D15DA">
      <w:pPr>
        <w:rPr>
          <w:lang w:val="et-EE"/>
        </w:rPr>
      </w:pPr>
    </w:p>
    <w:sectPr w:rsidR="002651FB" w:rsidRPr="006D15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Nimbus Roman No9 L">
    <w:altName w:val="Times New Roman"/>
    <w:charset w:val="01"/>
    <w:family w:val="roman"/>
    <w:pitch w:val="variable"/>
  </w:font>
  <w:font w:name="DejaVu Sans">
    <w:altName w:val="Verdana"/>
    <w:charset w:val="01"/>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FB"/>
    <w:rsid w:val="001149D9"/>
    <w:rsid w:val="00144E67"/>
    <w:rsid w:val="001D222A"/>
    <w:rsid w:val="002651FB"/>
    <w:rsid w:val="002F4E12"/>
    <w:rsid w:val="0053333E"/>
    <w:rsid w:val="006D15DA"/>
    <w:rsid w:val="009977FC"/>
    <w:rsid w:val="009E49A0"/>
    <w:rsid w:val="00A70427"/>
    <w:rsid w:val="00D10983"/>
    <w:rsid w:val="00E73A0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FCD2"/>
  <w15:chartTrackingRefBased/>
  <w15:docId w15:val="{1D8D9C65-5224-43DA-9926-F4A97775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651FB"/>
    <w:pPr>
      <w:widowControl w:val="0"/>
      <w:suppressAutoHyphens/>
      <w:spacing w:after="0" w:line="240" w:lineRule="auto"/>
    </w:pPr>
    <w:rPr>
      <w:rFonts w:ascii="Nimbus Roman No9 L" w:eastAsia="DejaVu Sans" w:hAnsi="Nimbus Roman No9 L" w:cs="DejaVu Sans"/>
      <w:sz w:val="24"/>
      <w:szCs w:val="24"/>
      <w:lang w:val="en-GB"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rsid w:val="002651FB"/>
    <w:rPr>
      <w:color w:val="000080"/>
      <w:u w:val="single"/>
    </w:rPr>
  </w:style>
  <w:style w:type="character" w:styleId="Tugev">
    <w:name w:val="Strong"/>
    <w:qFormat/>
    <w:rsid w:val="002651FB"/>
    <w:rPr>
      <w:b/>
      <w:bCs/>
    </w:rPr>
  </w:style>
  <w:style w:type="paragraph" w:customStyle="1" w:styleId="TableContents">
    <w:name w:val="Table Contents"/>
    <w:basedOn w:val="Kehatekst"/>
    <w:rsid w:val="002651FB"/>
  </w:style>
  <w:style w:type="paragraph" w:styleId="Kehatekst">
    <w:name w:val="Body Text"/>
    <w:basedOn w:val="Normaallaad"/>
    <w:link w:val="KehatekstMrk"/>
    <w:rsid w:val="002651FB"/>
    <w:pPr>
      <w:spacing w:after="283"/>
    </w:pPr>
  </w:style>
  <w:style w:type="character" w:customStyle="1" w:styleId="KehatekstMrk">
    <w:name w:val="Kehatekst Märk"/>
    <w:basedOn w:val="Liguvaikefont"/>
    <w:link w:val="Kehatekst"/>
    <w:rsid w:val="002651FB"/>
    <w:rPr>
      <w:rFonts w:ascii="Nimbus Roman No9 L" w:eastAsia="DejaVu Sans" w:hAnsi="Nimbus Roman No9 L" w:cs="DejaVu Sans"/>
      <w:sz w:val="24"/>
      <w:szCs w:val="24"/>
      <w:lang w:val="en-GB" w:eastAsia="zh-CN" w:bidi="hi-IN"/>
    </w:rPr>
  </w:style>
  <w:style w:type="character" w:styleId="Kommentaariviide">
    <w:name w:val="annotation reference"/>
    <w:basedOn w:val="Liguvaikefont"/>
    <w:uiPriority w:val="99"/>
    <w:semiHidden/>
    <w:unhideWhenUsed/>
    <w:rsid w:val="00D10983"/>
    <w:rPr>
      <w:sz w:val="16"/>
      <w:szCs w:val="16"/>
    </w:rPr>
  </w:style>
  <w:style w:type="paragraph" w:styleId="Kommentaaritekst">
    <w:name w:val="annotation text"/>
    <w:basedOn w:val="Normaallaad"/>
    <w:link w:val="KommentaaritekstMrk"/>
    <w:uiPriority w:val="99"/>
    <w:semiHidden/>
    <w:unhideWhenUsed/>
    <w:rsid w:val="00D10983"/>
    <w:rPr>
      <w:rFonts w:cs="Mangal"/>
      <w:sz w:val="20"/>
      <w:szCs w:val="18"/>
    </w:rPr>
  </w:style>
  <w:style w:type="character" w:customStyle="1" w:styleId="KommentaaritekstMrk">
    <w:name w:val="Kommentaari tekst Märk"/>
    <w:basedOn w:val="Liguvaikefont"/>
    <w:link w:val="Kommentaaritekst"/>
    <w:uiPriority w:val="99"/>
    <w:semiHidden/>
    <w:rsid w:val="00D10983"/>
    <w:rPr>
      <w:rFonts w:ascii="Nimbus Roman No9 L" w:eastAsia="DejaVu Sans" w:hAnsi="Nimbus Roman No9 L" w:cs="Mangal"/>
      <w:sz w:val="20"/>
      <w:szCs w:val="18"/>
      <w:lang w:val="en-GB" w:eastAsia="zh-CN" w:bidi="hi-IN"/>
    </w:rPr>
  </w:style>
  <w:style w:type="paragraph" w:styleId="Kommentaariteema">
    <w:name w:val="annotation subject"/>
    <w:basedOn w:val="Kommentaaritekst"/>
    <w:next w:val="Kommentaaritekst"/>
    <w:link w:val="KommentaariteemaMrk"/>
    <w:uiPriority w:val="99"/>
    <w:semiHidden/>
    <w:unhideWhenUsed/>
    <w:rsid w:val="00D10983"/>
    <w:rPr>
      <w:b/>
      <w:bCs/>
    </w:rPr>
  </w:style>
  <w:style w:type="character" w:customStyle="1" w:styleId="KommentaariteemaMrk">
    <w:name w:val="Kommentaari teema Märk"/>
    <w:basedOn w:val="KommentaaritekstMrk"/>
    <w:link w:val="Kommentaariteema"/>
    <w:uiPriority w:val="99"/>
    <w:semiHidden/>
    <w:rsid w:val="00D10983"/>
    <w:rPr>
      <w:rFonts w:ascii="Nimbus Roman No9 L" w:eastAsia="DejaVu Sans" w:hAnsi="Nimbus Roman No9 L" w:cs="Mangal"/>
      <w:b/>
      <w:bCs/>
      <w:sz w:val="20"/>
      <w:szCs w:val="18"/>
      <w:lang w:val="en-GB" w:eastAsia="zh-CN" w:bidi="hi-IN"/>
    </w:rPr>
  </w:style>
  <w:style w:type="paragraph" w:styleId="Jutumullitekst">
    <w:name w:val="Balloon Text"/>
    <w:basedOn w:val="Normaallaad"/>
    <w:link w:val="JutumullitekstMrk"/>
    <w:uiPriority w:val="99"/>
    <w:semiHidden/>
    <w:unhideWhenUsed/>
    <w:rsid w:val="00D10983"/>
    <w:rPr>
      <w:rFonts w:ascii="Segoe UI" w:hAnsi="Segoe UI" w:cs="Mangal"/>
      <w:sz w:val="18"/>
      <w:szCs w:val="16"/>
    </w:rPr>
  </w:style>
  <w:style w:type="character" w:customStyle="1" w:styleId="JutumullitekstMrk">
    <w:name w:val="Jutumullitekst Märk"/>
    <w:basedOn w:val="Liguvaikefont"/>
    <w:link w:val="Jutumullitekst"/>
    <w:uiPriority w:val="99"/>
    <w:semiHidden/>
    <w:rsid w:val="00D10983"/>
    <w:rPr>
      <w:rFonts w:ascii="Segoe UI" w:eastAsia="DejaVu Sans" w:hAnsi="Segoe UI" w:cs="Mangal"/>
      <w:sz w:val="18"/>
      <w:szCs w:val="16"/>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riigiteataja.ee/akt/13288237"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3BC5-77B7-45C8-88AC-72E0D7446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2912</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Tiit Kirss</dc:creator>
  <cp:keywords/>
  <dc:description/>
  <cp:lastModifiedBy>Inga Köster</cp:lastModifiedBy>
  <cp:revision>5</cp:revision>
  <dcterms:created xsi:type="dcterms:W3CDTF">2019-11-13T04:58:00Z</dcterms:created>
  <dcterms:modified xsi:type="dcterms:W3CDTF">2019-11-15T13:07:00Z</dcterms:modified>
</cp:coreProperties>
</file>