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6B73C" w14:textId="77777777" w:rsidR="008D3862" w:rsidRPr="004022A7" w:rsidRDefault="008D3862" w:rsidP="008D3862">
      <w:pPr>
        <w:spacing w:after="0" w:line="240" w:lineRule="auto"/>
        <w:rPr>
          <w:rFonts w:ascii="Garamond" w:hAnsi="Garamond"/>
          <w:b/>
          <w:spacing w:val="-4"/>
          <w:sz w:val="24"/>
          <w:szCs w:val="24"/>
        </w:rPr>
      </w:pPr>
      <w:r w:rsidRPr="004022A7">
        <w:rPr>
          <w:rFonts w:ascii="Garamond" w:hAnsi="Garamond"/>
          <w:b/>
          <w:spacing w:val="-4"/>
          <w:sz w:val="24"/>
          <w:szCs w:val="24"/>
        </w:rPr>
        <w:t>VII LÕIMUMISE VALDKOND</w:t>
      </w:r>
    </w:p>
    <w:tbl>
      <w:tblPr>
        <w:tblStyle w:val="Kontuurtabel"/>
        <w:tblW w:w="15291" w:type="dxa"/>
        <w:jc w:val="center"/>
        <w:tblLook w:val="04A0" w:firstRow="1" w:lastRow="0" w:firstColumn="1" w:lastColumn="0" w:noHBand="0" w:noVBand="1"/>
      </w:tblPr>
      <w:tblGrid>
        <w:gridCol w:w="559"/>
        <w:gridCol w:w="6443"/>
        <w:gridCol w:w="4918"/>
        <w:gridCol w:w="3371"/>
      </w:tblGrid>
      <w:tr w:rsidR="008D3862" w:rsidRPr="004022A7" w14:paraId="266C82E9" w14:textId="77777777" w:rsidTr="006A23C4">
        <w:trPr>
          <w:jc w:val="center"/>
        </w:trPr>
        <w:tc>
          <w:tcPr>
            <w:tcW w:w="559" w:type="dxa"/>
            <w:shd w:val="clear" w:color="auto" w:fill="BDD6EE" w:themeFill="accent5" w:themeFillTint="66"/>
            <w:vAlign w:val="center"/>
          </w:tcPr>
          <w:p w14:paraId="5880491E" w14:textId="77777777" w:rsidR="008D3862" w:rsidRPr="004022A7" w:rsidRDefault="008D3862" w:rsidP="006A23C4">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443" w:type="dxa"/>
            <w:shd w:val="clear" w:color="auto" w:fill="BDD6EE" w:themeFill="accent5" w:themeFillTint="66"/>
            <w:vAlign w:val="center"/>
          </w:tcPr>
          <w:p w14:paraId="4C81F950" w14:textId="77777777" w:rsidR="008D3862" w:rsidRPr="004022A7" w:rsidRDefault="008D3862" w:rsidP="006A23C4">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4918" w:type="dxa"/>
            <w:shd w:val="clear" w:color="auto" w:fill="BDD6EE" w:themeFill="accent5" w:themeFillTint="66"/>
            <w:vAlign w:val="center"/>
          </w:tcPr>
          <w:p w14:paraId="31463DBE" w14:textId="77777777" w:rsidR="008D3862" w:rsidRPr="004022A7" w:rsidRDefault="008D3862" w:rsidP="006A23C4">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3371" w:type="dxa"/>
            <w:shd w:val="clear" w:color="auto" w:fill="BDD6EE" w:themeFill="accent5" w:themeFillTint="66"/>
            <w:vAlign w:val="center"/>
          </w:tcPr>
          <w:p w14:paraId="6EBB6708" w14:textId="77777777" w:rsidR="008D3862" w:rsidRPr="004022A7" w:rsidRDefault="008D3862" w:rsidP="006A23C4">
            <w:pPr>
              <w:spacing w:after="0" w:line="240" w:lineRule="auto"/>
              <w:rPr>
                <w:rFonts w:ascii="Garamond" w:hAnsi="Garamond"/>
                <w:b/>
                <w:spacing w:val="-4"/>
                <w:sz w:val="24"/>
                <w:szCs w:val="24"/>
              </w:rPr>
            </w:pPr>
            <w:r>
              <w:rPr>
                <w:rFonts w:ascii="Garamond" w:hAnsi="Garamond"/>
                <w:b/>
                <w:spacing w:val="-4"/>
                <w:sz w:val="24"/>
                <w:szCs w:val="24"/>
              </w:rPr>
              <w:t>Kokkulepe</w:t>
            </w:r>
          </w:p>
        </w:tc>
      </w:tr>
      <w:tr w:rsidR="008D3862" w:rsidRPr="004022A7" w14:paraId="1B04C0EA" w14:textId="77777777" w:rsidTr="006A23C4">
        <w:trPr>
          <w:jc w:val="center"/>
        </w:trPr>
        <w:tc>
          <w:tcPr>
            <w:tcW w:w="559" w:type="dxa"/>
          </w:tcPr>
          <w:p w14:paraId="2BE6F8CA"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56E3368C"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 xml:space="preserve">Keeleõppevõimaluste laiendamine </w:t>
            </w:r>
            <w:proofErr w:type="spellStart"/>
            <w:r w:rsidRPr="004022A7">
              <w:rPr>
                <w:rFonts w:ascii="Garamond" w:hAnsi="Garamond"/>
                <w:spacing w:val="-4"/>
                <w:sz w:val="24"/>
                <w:szCs w:val="24"/>
              </w:rPr>
              <w:t>KOV-des</w:t>
            </w:r>
            <w:proofErr w:type="spellEnd"/>
            <w:r w:rsidRPr="004022A7">
              <w:rPr>
                <w:rFonts w:ascii="Garamond" w:hAnsi="Garamond"/>
                <w:spacing w:val="-4"/>
                <w:sz w:val="24"/>
                <w:szCs w:val="24"/>
              </w:rPr>
              <w:t xml:space="preserve"> (regionaalne probleem Ida-Virumaal).</w:t>
            </w:r>
          </w:p>
          <w:p w14:paraId="65B0788A"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Leida võimalus toetada keeleõppevõimalusi kohalikes omavalitsustes Ida-Virumaal ja muudes kohtades, kus nendeks vajadus on.</w:t>
            </w:r>
          </w:p>
        </w:tc>
        <w:tc>
          <w:tcPr>
            <w:tcW w:w="4918" w:type="dxa"/>
            <w:vAlign w:val="center"/>
          </w:tcPr>
          <w:p w14:paraId="3E0D449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Keeleõppevõimalusi Ida-Virumaal ja Tallinnas on laien</w:t>
            </w:r>
            <w:r w:rsidRPr="004022A7">
              <w:rPr>
                <w:rFonts w:ascii="Garamond" w:hAnsi="Garamond"/>
                <w:spacing w:val="-4"/>
                <w:sz w:val="24"/>
                <w:szCs w:val="24"/>
              </w:rPr>
              <w:softHyphen/>
              <w:t>datud Eesti keele majade avamisega Tallinnas ja Narvas. Keeleõppevõimaluste laiendamiseks kohalikes oma</w:t>
            </w:r>
            <w:r w:rsidRPr="004022A7">
              <w:rPr>
                <w:rFonts w:ascii="Garamond" w:hAnsi="Garamond"/>
                <w:spacing w:val="-4"/>
                <w:sz w:val="24"/>
                <w:szCs w:val="24"/>
              </w:rPr>
              <w:softHyphen/>
              <w:t>valit</w:t>
            </w:r>
            <w:r w:rsidRPr="004022A7">
              <w:rPr>
                <w:rFonts w:ascii="Garamond" w:hAnsi="Garamond"/>
                <w:spacing w:val="-4"/>
                <w:sz w:val="24"/>
                <w:szCs w:val="24"/>
              </w:rPr>
              <w:softHyphen/>
              <w:t xml:space="preserve">sustes on esitatud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2020-2024 lisataotlus Kultuuri</w:t>
            </w:r>
            <w:r w:rsidRPr="004022A7">
              <w:rPr>
                <w:rFonts w:ascii="Garamond" w:hAnsi="Garamond"/>
                <w:spacing w:val="-4"/>
                <w:sz w:val="24"/>
                <w:szCs w:val="24"/>
              </w:rPr>
              <w:softHyphen/>
              <w:t>ministeeriumi ja Haridus- ja Teadus</w:t>
            </w:r>
            <w:r w:rsidRPr="004022A7">
              <w:rPr>
                <w:rFonts w:ascii="Garamond" w:hAnsi="Garamond"/>
                <w:spacing w:val="-4"/>
                <w:sz w:val="24"/>
                <w:szCs w:val="24"/>
              </w:rPr>
              <w:softHyphen/>
              <w:t>ministeeriumi poolt. Täiendavat keeleõpet pakuvad 2019.a Töötukassa teenused, Integratsiooni Sihtasutus ja Haridus- ja Teadusministeerium.</w:t>
            </w:r>
          </w:p>
        </w:tc>
        <w:tc>
          <w:tcPr>
            <w:tcW w:w="3371" w:type="dxa"/>
            <w:vAlign w:val="center"/>
          </w:tcPr>
          <w:p w14:paraId="1E0E05E4" w14:textId="77777777" w:rsidR="008D3862" w:rsidRPr="004022A7" w:rsidRDefault="008D3862" w:rsidP="006A23C4">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Pr>
                <w:rFonts w:ascii="Garamond" w:hAnsi="Garamond"/>
                <w:spacing w:val="-4"/>
                <w:sz w:val="24"/>
                <w:szCs w:val="24"/>
              </w:rPr>
              <w:t>.</w:t>
            </w:r>
          </w:p>
        </w:tc>
      </w:tr>
      <w:tr w:rsidR="008D3862" w:rsidRPr="004022A7" w14:paraId="214BC6F9" w14:textId="77777777" w:rsidTr="006A23C4">
        <w:trPr>
          <w:jc w:val="center"/>
        </w:trPr>
        <w:tc>
          <w:tcPr>
            <w:tcW w:w="559" w:type="dxa"/>
          </w:tcPr>
          <w:p w14:paraId="2069969E"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0DC3FB6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Muukeelsete kooride toetamine laulu- ja tantsupeol osalemiseks.</w:t>
            </w:r>
          </w:p>
          <w:p w14:paraId="329137C6" w14:textId="77777777" w:rsidR="008D3862" w:rsidRPr="004022A7" w:rsidRDefault="008D3862" w:rsidP="006A23C4">
            <w:pPr>
              <w:spacing w:after="0" w:line="240" w:lineRule="auto"/>
              <w:rPr>
                <w:rFonts w:ascii="Garamond" w:hAnsi="Garamond"/>
                <w:spacing w:val="-4"/>
                <w:sz w:val="24"/>
                <w:szCs w:val="24"/>
              </w:rPr>
            </w:pPr>
          </w:p>
          <w:p w14:paraId="08158318"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Leida võimalus täiendavaks toetuseks muukeelsete kollektiivide koorilaulu- ja tantsupeol osalemiseks.</w:t>
            </w:r>
          </w:p>
        </w:tc>
        <w:tc>
          <w:tcPr>
            <w:tcW w:w="4918" w:type="dxa"/>
            <w:vAlign w:val="center"/>
          </w:tcPr>
          <w:p w14:paraId="3C52F33B"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 xml:space="preserve">Muukeelsete koolinoorte osalemiseks laulu- ja tantsupeol plaanib Kultuuriministeerium pakkuda täiendavaid transpordivõimalusi. Lahendused muukeelsete kooride toetamiseks laulu- ja tantsupeol osalemiseks töötatakse välja pärast Kultuuriministeeriumile esitatud koorliikumise uuringutulemuste esitamist SA Poliitikauuringute Keskuse </w:t>
            </w:r>
            <w:proofErr w:type="spellStart"/>
            <w:r w:rsidRPr="004022A7">
              <w:rPr>
                <w:rFonts w:ascii="Garamond" w:hAnsi="Garamond"/>
                <w:spacing w:val="-4"/>
                <w:sz w:val="24"/>
                <w:szCs w:val="24"/>
              </w:rPr>
              <w:t>Praxis</w:t>
            </w:r>
            <w:proofErr w:type="spellEnd"/>
            <w:r w:rsidRPr="004022A7">
              <w:rPr>
                <w:rFonts w:ascii="Garamond" w:hAnsi="Garamond"/>
                <w:spacing w:val="-4"/>
                <w:sz w:val="24"/>
                <w:szCs w:val="24"/>
              </w:rPr>
              <w:t xml:space="preserve"> poolt 2019.a. II kvartalis ja vastavat tulemuste analüüsi.</w:t>
            </w:r>
          </w:p>
          <w:p w14:paraId="5549EB29"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0FCF5DB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Töötada täiendavad muu</w:t>
            </w:r>
            <w:r w:rsidRPr="004022A7">
              <w:rPr>
                <w:rFonts w:ascii="Garamond" w:hAnsi="Garamond"/>
                <w:spacing w:val="-4"/>
                <w:sz w:val="24"/>
                <w:szCs w:val="24"/>
              </w:rPr>
              <w:softHyphen/>
              <w:t>keelsete kooride toetus</w:t>
            </w:r>
            <w:r w:rsidRPr="004022A7">
              <w:rPr>
                <w:rFonts w:ascii="Garamond" w:hAnsi="Garamond"/>
                <w:spacing w:val="-4"/>
                <w:sz w:val="24"/>
                <w:szCs w:val="24"/>
              </w:rPr>
              <w:softHyphen/>
              <w:t>meet</w:t>
            </w:r>
            <w:r w:rsidRPr="004022A7">
              <w:rPr>
                <w:rFonts w:ascii="Garamond" w:hAnsi="Garamond"/>
                <w:spacing w:val="-4"/>
                <w:sz w:val="24"/>
                <w:szCs w:val="24"/>
              </w:rPr>
              <w:softHyphen/>
              <w:t>med laulu- ja tantsu</w:t>
            </w:r>
            <w:r w:rsidRPr="004022A7">
              <w:rPr>
                <w:rFonts w:ascii="Garamond" w:hAnsi="Garamond"/>
                <w:spacing w:val="-4"/>
                <w:sz w:val="24"/>
                <w:szCs w:val="24"/>
              </w:rPr>
              <w:softHyphen/>
              <w:t>peol osalemiseks välja pärast vastava Kultuuri</w:t>
            </w:r>
            <w:r w:rsidRPr="004022A7">
              <w:rPr>
                <w:rFonts w:ascii="Garamond" w:hAnsi="Garamond"/>
                <w:spacing w:val="-4"/>
                <w:sz w:val="24"/>
                <w:szCs w:val="24"/>
              </w:rPr>
              <w:softHyphen/>
              <w:t>ministee</w:t>
            </w:r>
            <w:r w:rsidRPr="004022A7">
              <w:rPr>
                <w:rFonts w:ascii="Garamond" w:hAnsi="Garamond"/>
                <w:spacing w:val="-4"/>
                <w:sz w:val="24"/>
                <w:szCs w:val="24"/>
              </w:rPr>
              <w:softHyphen/>
              <w:t>riu</w:t>
            </w:r>
            <w:r w:rsidRPr="004022A7">
              <w:rPr>
                <w:rFonts w:ascii="Garamond" w:hAnsi="Garamond"/>
                <w:spacing w:val="-4"/>
                <w:sz w:val="24"/>
                <w:szCs w:val="24"/>
              </w:rPr>
              <w:softHyphen/>
              <w:t>mi tellimusel läbi</w:t>
            </w:r>
            <w:r w:rsidRPr="004022A7">
              <w:rPr>
                <w:rFonts w:ascii="Garamond" w:hAnsi="Garamond"/>
                <w:spacing w:val="-4"/>
                <w:sz w:val="24"/>
                <w:szCs w:val="24"/>
              </w:rPr>
              <w:softHyphen/>
              <w:t>viidud uuringu tule</w:t>
            </w:r>
            <w:r w:rsidRPr="004022A7">
              <w:rPr>
                <w:rFonts w:ascii="Garamond" w:hAnsi="Garamond"/>
                <w:spacing w:val="-4"/>
                <w:sz w:val="24"/>
                <w:szCs w:val="24"/>
              </w:rPr>
              <w:softHyphen/>
              <w:t>mus</w:t>
            </w:r>
            <w:r w:rsidRPr="004022A7">
              <w:rPr>
                <w:rFonts w:ascii="Garamond" w:hAnsi="Garamond"/>
                <w:spacing w:val="-4"/>
                <w:sz w:val="24"/>
                <w:szCs w:val="24"/>
              </w:rPr>
              <w:softHyphen/>
              <w:t>te analüüsi. Käsitleda toetus</w:t>
            </w:r>
            <w:r>
              <w:rPr>
                <w:rFonts w:ascii="Garamond" w:hAnsi="Garamond"/>
                <w:spacing w:val="-4"/>
                <w:sz w:val="24"/>
                <w:szCs w:val="24"/>
              </w:rPr>
              <w:softHyphen/>
            </w:r>
            <w:r w:rsidRPr="004022A7">
              <w:rPr>
                <w:rFonts w:ascii="Garamond" w:hAnsi="Garamond"/>
                <w:spacing w:val="-4"/>
                <w:sz w:val="24"/>
                <w:szCs w:val="24"/>
              </w:rPr>
              <w:t>meetmeid koos üle-eestilist koori</w:t>
            </w:r>
            <w:r w:rsidRPr="004022A7">
              <w:rPr>
                <w:rFonts w:ascii="Garamond" w:hAnsi="Garamond"/>
                <w:spacing w:val="-4"/>
                <w:sz w:val="24"/>
                <w:szCs w:val="24"/>
              </w:rPr>
              <w:softHyphen/>
              <w:t>liikumist eden</w:t>
            </w:r>
            <w:r w:rsidRPr="004022A7">
              <w:rPr>
                <w:rFonts w:ascii="Garamond" w:hAnsi="Garamond"/>
                <w:spacing w:val="-4"/>
                <w:sz w:val="24"/>
                <w:szCs w:val="24"/>
              </w:rPr>
              <w:softHyphen/>
              <w:t>davate tugi</w:t>
            </w:r>
            <w:r w:rsidRPr="004022A7">
              <w:rPr>
                <w:rFonts w:ascii="Garamond" w:hAnsi="Garamond"/>
                <w:spacing w:val="-4"/>
                <w:sz w:val="24"/>
                <w:szCs w:val="24"/>
              </w:rPr>
              <w:softHyphen/>
              <w:t>meet</w:t>
            </w:r>
            <w:r w:rsidRPr="004022A7">
              <w:rPr>
                <w:rFonts w:ascii="Garamond" w:hAnsi="Garamond"/>
                <w:spacing w:val="-4"/>
                <w:sz w:val="24"/>
                <w:szCs w:val="24"/>
              </w:rPr>
              <w:softHyphen/>
            </w:r>
            <w:r w:rsidRPr="004022A7">
              <w:rPr>
                <w:rFonts w:ascii="Garamond" w:hAnsi="Garamond"/>
                <w:spacing w:val="-4"/>
                <w:sz w:val="24"/>
                <w:szCs w:val="24"/>
              </w:rPr>
              <w:softHyphen/>
              <w:t>me</w:t>
            </w:r>
            <w:r w:rsidRPr="004022A7">
              <w:rPr>
                <w:rFonts w:ascii="Garamond" w:hAnsi="Garamond"/>
                <w:spacing w:val="-4"/>
                <w:sz w:val="24"/>
                <w:szCs w:val="24"/>
              </w:rPr>
              <w:softHyphen/>
              <w:t>te</w:t>
            </w:r>
            <w:r w:rsidRPr="004022A7">
              <w:rPr>
                <w:rFonts w:ascii="Garamond" w:hAnsi="Garamond"/>
                <w:spacing w:val="-4"/>
                <w:sz w:val="24"/>
                <w:szCs w:val="24"/>
              </w:rPr>
              <w:softHyphen/>
              <w:t>ga ja koostöös valdkond</w:t>
            </w:r>
            <w:r w:rsidRPr="004022A7">
              <w:rPr>
                <w:rFonts w:ascii="Garamond" w:hAnsi="Garamond"/>
                <w:spacing w:val="-4"/>
                <w:sz w:val="24"/>
                <w:szCs w:val="24"/>
              </w:rPr>
              <w:softHyphen/>
              <w:t>liku kultuurikomisjoniga..</w:t>
            </w:r>
          </w:p>
        </w:tc>
      </w:tr>
      <w:tr w:rsidR="008D3862" w:rsidRPr="004022A7" w14:paraId="1DDFE1D5" w14:textId="77777777" w:rsidTr="006A23C4">
        <w:trPr>
          <w:jc w:val="center"/>
        </w:trPr>
        <w:tc>
          <w:tcPr>
            <w:tcW w:w="559" w:type="dxa"/>
          </w:tcPr>
          <w:p w14:paraId="731CF17B"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3868F046"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Lõimumise teenuskaardi koostamine (kaasates teisi lõimumise vald</w:t>
            </w:r>
            <w:r w:rsidRPr="004022A7">
              <w:rPr>
                <w:rFonts w:ascii="Garamond" w:hAnsi="Garamond"/>
                <w:spacing w:val="-4"/>
                <w:sz w:val="24"/>
                <w:szCs w:val="24"/>
              </w:rPr>
              <w:softHyphen/>
              <w:t>konnaga puudet omavad ministeeriumid) ja liidu, et kaardistada koostöökohad lõimumise valdkonnas ning koostada teenuskaart).</w:t>
            </w:r>
          </w:p>
          <w:p w14:paraId="2CD6792F"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Koostada lõimumise teenuskaart ja kaardistada koostöökohad, kaasates teisi lõimumise valdkonnaga puutumust omavad ministeeriumid ja Eesti Linnade ja Valdade Liidu.</w:t>
            </w:r>
          </w:p>
        </w:tc>
        <w:tc>
          <w:tcPr>
            <w:tcW w:w="4918" w:type="dxa"/>
            <w:vAlign w:val="center"/>
          </w:tcPr>
          <w:p w14:paraId="3AF3CC0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 xml:space="preserve">Teenuskaardi loomisel jätkatakse koostööd </w:t>
            </w:r>
            <w:proofErr w:type="spellStart"/>
            <w:r w:rsidRPr="004022A7">
              <w:rPr>
                <w:rFonts w:ascii="Garamond" w:hAnsi="Garamond"/>
                <w:spacing w:val="-4"/>
                <w:sz w:val="24"/>
                <w:szCs w:val="24"/>
              </w:rPr>
              <w:t>ELVLi</w:t>
            </w:r>
            <w:proofErr w:type="spellEnd"/>
            <w:r w:rsidRPr="004022A7">
              <w:rPr>
                <w:rFonts w:ascii="Garamond" w:hAnsi="Garamond"/>
                <w:spacing w:val="-4"/>
                <w:sz w:val="24"/>
                <w:szCs w:val="24"/>
              </w:rPr>
              <w:t xml:space="preserve"> ja ametkondade vahel valitsuskomisjonis eesmärgiga kaardistada koostöökohad ja </w:t>
            </w:r>
            <w:proofErr w:type="spellStart"/>
            <w:r w:rsidRPr="004022A7">
              <w:rPr>
                <w:rFonts w:ascii="Garamond" w:hAnsi="Garamond"/>
                <w:spacing w:val="-4"/>
                <w:sz w:val="24"/>
                <w:szCs w:val="24"/>
              </w:rPr>
              <w:t>eelarvestada</w:t>
            </w:r>
            <w:proofErr w:type="spellEnd"/>
            <w:r w:rsidRPr="004022A7">
              <w:rPr>
                <w:rFonts w:ascii="Garamond" w:hAnsi="Garamond"/>
                <w:spacing w:val="-4"/>
                <w:sz w:val="24"/>
                <w:szCs w:val="24"/>
              </w:rPr>
              <w:t xml:space="preserve"> teenuskaardi koostamise maksumus.</w:t>
            </w:r>
          </w:p>
        </w:tc>
        <w:tc>
          <w:tcPr>
            <w:tcW w:w="3371" w:type="dxa"/>
            <w:vAlign w:val="center"/>
          </w:tcPr>
          <w:p w14:paraId="35E7EF9B" w14:textId="77777777" w:rsidR="008D3862" w:rsidRPr="004022A7" w:rsidRDefault="008D3862" w:rsidP="006A23C4">
            <w:pPr>
              <w:spacing w:after="0" w:line="240" w:lineRule="auto"/>
              <w:rPr>
                <w:rFonts w:ascii="Garamond" w:hAnsi="Garamond"/>
                <w:bCs/>
                <w:spacing w:val="-4"/>
                <w:sz w:val="24"/>
                <w:szCs w:val="24"/>
              </w:rPr>
            </w:pPr>
            <w:r w:rsidRPr="004022A7">
              <w:rPr>
                <w:rFonts w:ascii="Garamond" w:hAnsi="Garamond"/>
                <w:bCs/>
                <w:spacing w:val="-4"/>
                <w:sz w:val="24"/>
                <w:szCs w:val="24"/>
              </w:rPr>
              <w:t>Koostada teenuskaart hiljemalt 2020. a II kvartaliks.</w:t>
            </w:r>
          </w:p>
        </w:tc>
      </w:tr>
      <w:tr w:rsidR="008D3862" w:rsidRPr="004022A7" w14:paraId="575577AD" w14:textId="77777777" w:rsidTr="006A23C4">
        <w:trPr>
          <w:jc w:val="center"/>
        </w:trPr>
        <w:tc>
          <w:tcPr>
            <w:tcW w:w="559" w:type="dxa"/>
          </w:tcPr>
          <w:p w14:paraId="30E757A9"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361AB979"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Eesti keele õpetajate ja kultuuritöötajate puuduse leevendamine Ida-Virumaal.</w:t>
            </w:r>
          </w:p>
          <w:p w14:paraId="3A4A30F2" w14:textId="77777777" w:rsidR="008D3862" w:rsidRPr="004022A7" w:rsidRDefault="008D3862" w:rsidP="006A23C4">
            <w:pPr>
              <w:spacing w:after="0" w:line="240" w:lineRule="auto"/>
              <w:rPr>
                <w:rFonts w:ascii="Garamond" w:hAnsi="Garamond"/>
                <w:spacing w:val="-4"/>
                <w:sz w:val="24"/>
                <w:szCs w:val="24"/>
              </w:rPr>
            </w:pPr>
          </w:p>
          <w:p w14:paraId="4B449386"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Pidada läbirääkimisi haridus-ja teadusministeeriumiga riikliku koolitus</w:t>
            </w:r>
            <w:r w:rsidRPr="004022A7">
              <w:rPr>
                <w:rFonts w:ascii="Garamond" w:hAnsi="Garamond"/>
                <w:spacing w:val="-4"/>
                <w:sz w:val="24"/>
                <w:szCs w:val="24"/>
              </w:rPr>
              <w:softHyphen/>
              <w:t>tellimuse suurendamiseks eesti keele õpetajate ja kultuuritöötajate koolitamiseks.</w:t>
            </w:r>
          </w:p>
        </w:tc>
        <w:tc>
          <w:tcPr>
            <w:tcW w:w="4918" w:type="dxa"/>
            <w:vAlign w:val="center"/>
          </w:tcPr>
          <w:p w14:paraId="20DC4CD4"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 xml:space="preserve">Haridus- ja Teadusministeeriumi poolt </w:t>
            </w:r>
            <w:r>
              <w:rPr>
                <w:rFonts w:ascii="Garamond" w:hAnsi="Garamond"/>
                <w:spacing w:val="-4"/>
                <w:sz w:val="24"/>
                <w:szCs w:val="24"/>
              </w:rPr>
              <w:t xml:space="preserve">on </w:t>
            </w:r>
            <w:r w:rsidRPr="004022A7">
              <w:rPr>
                <w:rFonts w:ascii="Garamond" w:hAnsi="Garamond"/>
                <w:spacing w:val="-4"/>
                <w:sz w:val="24"/>
                <w:szCs w:val="24"/>
              </w:rPr>
              <w:t xml:space="preserve">esitatud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lisataotlus 30% palgalisa pakkumiseks eesti keelt valdavatele õpetajatele Ida-Virumaal. Ettepanek kultuuritöötajate puuduse leevendamiseks Ida-Virumaal esitada kultuuri- ja spordivaldkonna komisjonile seisukohavõtuks.</w:t>
            </w:r>
          </w:p>
          <w:p w14:paraId="3E7C2FFE"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3D49E7FC"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lastRenderedPageBreak/>
              <w:t>Haridus- ja Teadus</w:t>
            </w:r>
            <w:r w:rsidRPr="004022A7">
              <w:rPr>
                <w:rFonts w:ascii="Garamond" w:hAnsi="Garamond"/>
                <w:spacing w:val="-4"/>
                <w:sz w:val="24"/>
                <w:szCs w:val="24"/>
              </w:rPr>
              <w:softHyphen/>
              <w:t>minis</w:t>
            </w:r>
            <w:r w:rsidRPr="004022A7">
              <w:rPr>
                <w:rFonts w:ascii="Garamond" w:hAnsi="Garamond"/>
                <w:spacing w:val="-4"/>
                <w:sz w:val="24"/>
                <w:szCs w:val="24"/>
              </w:rPr>
              <w:softHyphen/>
              <w:t>tee</w:t>
            </w:r>
            <w:r w:rsidRPr="004022A7">
              <w:rPr>
                <w:rFonts w:ascii="Garamond" w:hAnsi="Garamond"/>
                <w:spacing w:val="-4"/>
                <w:sz w:val="24"/>
                <w:szCs w:val="24"/>
              </w:rPr>
              <w:softHyphen/>
              <w:t>rium kaalub erinevaid moti</w:t>
            </w:r>
            <w:r w:rsidRPr="004022A7">
              <w:rPr>
                <w:rFonts w:ascii="Garamond" w:hAnsi="Garamond"/>
                <w:spacing w:val="-4"/>
                <w:sz w:val="24"/>
                <w:szCs w:val="24"/>
              </w:rPr>
              <w:softHyphen/>
              <w:t>vatsioonivõimalusi eesti keele ja eesti keeles õpetavate õpetajate leid</w:t>
            </w:r>
            <w:r w:rsidRPr="004022A7">
              <w:rPr>
                <w:rFonts w:ascii="Garamond" w:hAnsi="Garamond"/>
                <w:spacing w:val="-4"/>
                <w:sz w:val="24"/>
                <w:szCs w:val="24"/>
              </w:rPr>
              <w:softHyphen/>
              <w:t>mi</w:t>
            </w:r>
            <w:r w:rsidRPr="004022A7">
              <w:rPr>
                <w:rFonts w:ascii="Garamond" w:hAnsi="Garamond"/>
                <w:spacing w:val="-4"/>
                <w:sz w:val="24"/>
                <w:szCs w:val="24"/>
              </w:rPr>
              <w:softHyphen/>
              <w:t>seks. HTM ei esita kõrg</w:t>
            </w:r>
            <w:r w:rsidRPr="004022A7">
              <w:rPr>
                <w:rFonts w:ascii="Garamond" w:hAnsi="Garamond"/>
                <w:spacing w:val="-4"/>
                <w:sz w:val="24"/>
                <w:szCs w:val="24"/>
              </w:rPr>
              <w:softHyphen/>
              <w:t>koolidele koolitus</w:t>
            </w:r>
            <w:r w:rsidRPr="004022A7">
              <w:rPr>
                <w:rFonts w:ascii="Garamond" w:hAnsi="Garamond"/>
                <w:spacing w:val="-4"/>
                <w:sz w:val="24"/>
                <w:szCs w:val="24"/>
              </w:rPr>
              <w:softHyphen/>
              <w:t>tel</w:t>
            </w:r>
            <w:r w:rsidRPr="004022A7">
              <w:rPr>
                <w:rFonts w:ascii="Garamond" w:hAnsi="Garamond"/>
                <w:spacing w:val="-4"/>
                <w:sz w:val="24"/>
                <w:szCs w:val="24"/>
              </w:rPr>
              <w:softHyphen/>
              <w:t>li</w:t>
            </w:r>
            <w:r w:rsidRPr="004022A7">
              <w:rPr>
                <w:rFonts w:ascii="Garamond" w:hAnsi="Garamond"/>
                <w:spacing w:val="-4"/>
                <w:sz w:val="24"/>
                <w:szCs w:val="24"/>
              </w:rPr>
              <w:softHyphen/>
              <w:t xml:space="preserve">musi. Eesti </w:t>
            </w:r>
            <w:r w:rsidRPr="004022A7">
              <w:rPr>
                <w:rFonts w:ascii="Garamond" w:hAnsi="Garamond"/>
                <w:spacing w:val="-4"/>
                <w:sz w:val="24"/>
                <w:szCs w:val="24"/>
              </w:rPr>
              <w:lastRenderedPageBreak/>
              <w:t xml:space="preserve">keele õpetaja oskusi on võimalik omandada ka ümberõppe toel täiendava kutsena. </w:t>
            </w:r>
          </w:p>
        </w:tc>
      </w:tr>
      <w:tr w:rsidR="008D3862" w:rsidRPr="004022A7" w14:paraId="12E348AE" w14:textId="77777777" w:rsidTr="006A23C4">
        <w:trPr>
          <w:trHeight w:val="2489"/>
          <w:jc w:val="center"/>
        </w:trPr>
        <w:tc>
          <w:tcPr>
            <w:tcW w:w="559" w:type="dxa"/>
          </w:tcPr>
          <w:p w14:paraId="04DD0C7B"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2F347BF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 xml:space="preserve">„Kahe kogukonna sulandamise programmi“ rahastamine </w:t>
            </w:r>
            <w:proofErr w:type="spellStart"/>
            <w:r w:rsidRPr="004022A7">
              <w:rPr>
                <w:rFonts w:ascii="Garamond" w:hAnsi="Garamond"/>
                <w:spacing w:val="-4"/>
                <w:sz w:val="24"/>
                <w:szCs w:val="24"/>
              </w:rPr>
              <w:t>KOV-dele</w:t>
            </w:r>
            <w:proofErr w:type="spellEnd"/>
            <w:r w:rsidRPr="004022A7">
              <w:rPr>
                <w:rFonts w:ascii="Garamond" w:hAnsi="Garamond"/>
                <w:spacing w:val="-4"/>
                <w:sz w:val="24"/>
                <w:szCs w:val="24"/>
              </w:rPr>
              <w:t>.</w:t>
            </w:r>
          </w:p>
          <w:p w14:paraId="0B856052" w14:textId="77777777" w:rsidR="008D3862" w:rsidRPr="004022A7" w:rsidRDefault="008D3862" w:rsidP="006A23C4">
            <w:pPr>
              <w:spacing w:after="0" w:line="240" w:lineRule="auto"/>
              <w:rPr>
                <w:rFonts w:ascii="Garamond" w:hAnsi="Garamond"/>
                <w:spacing w:val="-4"/>
                <w:sz w:val="24"/>
                <w:szCs w:val="24"/>
              </w:rPr>
            </w:pPr>
          </w:p>
          <w:p w14:paraId="16CCE13D"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„Kahe kogukonna sulandamise programmi“ rahastamine riigi poolt. Kahe kogukonna sulandamise programmi eesmärk on tuua venekeelsed inimesed eesti-keelsesse kultuuriruumi. Programmi raames külastatakse Riigikogu, Vene teatrit, laulu-ja tantsupidu, Petseri Seto festivali. Programmiga otsitakse eesti- ja vene kultuuride sõlmumise kohta.</w:t>
            </w:r>
          </w:p>
        </w:tc>
        <w:tc>
          <w:tcPr>
            <w:tcW w:w="4918" w:type="dxa"/>
            <w:vAlign w:val="center"/>
          </w:tcPr>
          <w:p w14:paraId="4CE9A485"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Kultuuriministeeriumi pool</w:t>
            </w:r>
            <w:r>
              <w:rPr>
                <w:rFonts w:ascii="Garamond" w:hAnsi="Garamond"/>
                <w:spacing w:val="-4"/>
                <w:sz w:val="24"/>
                <w:szCs w:val="24"/>
              </w:rPr>
              <w:t xml:space="preserve">t esitatud </w:t>
            </w:r>
            <w:r w:rsidRPr="004022A7">
              <w:rPr>
                <w:rFonts w:ascii="Garamond" w:hAnsi="Garamond"/>
                <w:spacing w:val="-4"/>
                <w:sz w:val="24"/>
                <w:szCs w:val="24"/>
              </w:rPr>
              <w:t xml:space="preserve">ettepanek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2020-2014 lisataotluses tõsta koostöötegevusteks ja koostööks kohalike omavalitsustega planeeritud eelarvelisi vahendeid. „Kahe kogukonna sulandamise programmi“ ehk kultuurikümblust rahastavad Haridus- ja Teadusministeerium MTÜ Minu Riik tegevuse ja Kultuuriministeerium erikeelsete kogukondadele suunatud koostöötegevuste toetusprogrammide kaudu, mida raken</w:t>
            </w:r>
            <w:r>
              <w:rPr>
                <w:rFonts w:ascii="Garamond" w:hAnsi="Garamond"/>
                <w:spacing w:val="-4"/>
                <w:sz w:val="24"/>
                <w:szCs w:val="24"/>
              </w:rPr>
              <w:t xml:space="preserve">dab Integratsiooni Sihtasutus. </w:t>
            </w:r>
          </w:p>
        </w:tc>
        <w:tc>
          <w:tcPr>
            <w:tcW w:w="3371" w:type="dxa"/>
            <w:vAlign w:val="center"/>
          </w:tcPr>
          <w:p w14:paraId="3A596778" w14:textId="77777777" w:rsidR="008D3862" w:rsidRPr="004022A7" w:rsidRDefault="008D3862" w:rsidP="006A23C4">
            <w:pPr>
              <w:spacing w:after="0" w:line="240" w:lineRule="auto"/>
              <w:rPr>
                <w:rFonts w:ascii="Garamond" w:hAnsi="Garamond"/>
                <w:spacing w:val="-4"/>
                <w:sz w:val="24"/>
                <w:szCs w:val="24"/>
              </w:rPr>
            </w:pPr>
            <w:proofErr w:type="spellStart"/>
            <w:r w:rsidRPr="004022A7">
              <w:rPr>
                <w:rFonts w:ascii="Garamond" w:hAnsi="Garamond"/>
                <w:spacing w:val="-4"/>
                <w:sz w:val="24"/>
                <w:szCs w:val="24"/>
              </w:rPr>
              <w:t>Lõimuv</w:t>
            </w:r>
            <w:proofErr w:type="spellEnd"/>
            <w:r w:rsidRPr="004022A7">
              <w:rPr>
                <w:rFonts w:ascii="Garamond" w:hAnsi="Garamond"/>
                <w:spacing w:val="-4"/>
                <w:sz w:val="24"/>
                <w:szCs w:val="24"/>
              </w:rPr>
              <w:t xml:space="preserve"> Eesti 2020 raames koostööd toetava lõimu</w:t>
            </w:r>
            <w:r w:rsidRPr="004022A7">
              <w:rPr>
                <w:rFonts w:ascii="Garamond" w:hAnsi="Garamond"/>
                <w:spacing w:val="-4"/>
                <w:sz w:val="24"/>
                <w:szCs w:val="24"/>
              </w:rPr>
              <w:softHyphen/>
              <w:t>mis</w:t>
            </w:r>
            <w:r w:rsidRPr="004022A7">
              <w:rPr>
                <w:rFonts w:ascii="Garamond" w:hAnsi="Garamond"/>
                <w:spacing w:val="-4"/>
                <w:sz w:val="24"/>
                <w:szCs w:val="24"/>
              </w:rPr>
              <w:softHyphen/>
              <w:t>meetme tegevuste eesmärk on suurendada Eestis elavate inimeste teadlikkust erine</w:t>
            </w:r>
            <w:r w:rsidRPr="004022A7">
              <w:rPr>
                <w:rFonts w:ascii="Garamond" w:hAnsi="Garamond"/>
                <w:spacing w:val="-4"/>
                <w:sz w:val="24"/>
                <w:szCs w:val="24"/>
              </w:rPr>
              <w:softHyphen/>
              <w:t>va</w:t>
            </w:r>
            <w:r w:rsidRPr="004022A7">
              <w:rPr>
                <w:rFonts w:ascii="Garamond" w:hAnsi="Garamond"/>
                <w:spacing w:val="-4"/>
                <w:sz w:val="24"/>
                <w:szCs w:val="24"/>
              </w:rPr>
              <w:softHyphen/>
              <w:t>test kultuuridest, tradit</w:t>
            </w:r>
            <w:r w:rsidRPr="004022A7">
              <w:rPr>
                <w:rFonts w:ascii="Garamond" w:hAnsi="Garamond"/>
                <w:spacing w:val="-4"/>
                <w:sz w:val="24"/>
                <w:szCs w:val="24"/>
              </w:rPr>
              <w:softHyphen/>
              <w:t>sioo</w:t>
            </w:r>
            <w:r w:rsidRPr="004022A7">
              <w:rPr>
                <w:rFonts w:ascii="Garamond" w:hAnsi="Garamond"/>
                <w:spacing w:val="-4"/>
                <w:sz w:val="24"/>
                <w:szCs w:val="24"/>
              </w:rPr>
              <w:softHyphen/>
              <w:t>ni</w:t>
            </w:r>
            <w:r w:rsidRPr="004022A7">
              <w:rPr>
                <w:rFonts w:ascii="Garamond" w:hAnsi="Garamond"/>
                <w:spacing w:val="-4"/>
                <w:sz w:val="24"/>
                <w:szCs w:val="24"/>
              </w:rPr>
              <w:softHyphen/>
              <w:t>dest ja väärtustest ning pa</w:t>
            </w:r>
            <w:r w:rsidRPr="004022A7">
              <w:rPr>
                <w:rFonts w:ascii="Garamond" w:hAnsi="Garamond"/>
                <w:spacing w:val="-4"/>
                <w:sz w:val="24"/>
                <w:szCs w:val="24"/>
              </w:rPr>
              <w:softHyphen/>
              <w:t>ran</w:t>
            </w:r>
            <w:r w:rsidRPr="004022A7">
              <w:rPr>
                <w:rFonts w:ascii="Garamond" w:hAnsi="Garamond"/>
                <w:spacing w:val="-4"/>
                <w:sz w:val="24"/>
                <w:szCs w:val="24"/>
              </w:rPr>
              <w:softHyphen/>
              <w:t>dada hoiakuid teiste rah</w:t>
            </w:r>
            <w:r w:rsidRPr="004022A7">
              <w:rPr>
                <w:rFonts w:ascii="Garamond" w:hAnsi="Garamond"/>
                <w:spacing w:val="-4"/>
                <w:sz w:val="24"/>
                <w:szCs w:val="24"/>
              </w:rPr>
              <w:softHyphen/>
              <w:t>vus</w:t>
            </w:r>
            <w:r w:rsidRPr="004022A7">
              <w:rPr>
                <w:rFonts w:ascii="Garamond" w:hAnsi="Garamond"/>
                <w:spacing w:val="-4"/>
                <w:sz w:val="24"/>
                <w:szCs w:val="24"/>
              </w:rPr>
              <w:softHyphen/>
              <w:t xml:space="preserve">rühmade suhtes. </w:t>
            </w:r>
            <w:hyperlink r:id="rId8" w:history="1">
              <w:r w:rsidRPr="004022A7">
                <w:rPr>
                  <w:rFonts w:ascii="Garamond" w:hAnsi="Garamond"/>
                  <w:spacing w:val="-4"/>
                  <w:sz w:val="24"/>
                  <w:szCs w:val="24"/>
                </w:rPr>
                <w:t>https://www.kul.ee/et/loimumise-meede</w:t>
              </w:r>
            </w:hyperlink>
            <w:r w:rsidRPr="004022A7">
              <w:rPr>
                <w:rFonts w:ascii="Garamond" w:hAnsi="Garamond"/>
                <w:spacing w:val="-4"/>
                <w:sz w:val="24"/>
                <w:szCs w:val="24"/>
              </w:rPr>
              <w:t xml:space="preserve"> </w:t>
            </w:r>
          </w:p>
        </w:tc>
      </w:tr>
      <w:tr w:rsidR="008D3862" w:rsidRPr="004022A7" w14:paraId="5372DF8D" w14:textId="77777777" w:rsidTr="006A23C4">
        <w:trPr>
          <w:trHeight w:val="2489"/>
          <w:jc w:val="center"/>
        </w:trPr>
        <w:tc>
          <w:tcPr>
            <w:tcW w:w="559" w:type="dxa"/>
          </w:tcPr>
          <w:p w14:paraId="3467E5C5"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10E69701" w14:textId="77777777" w:rsidR="008D3862" w:rsidRPr="00D03BF7" w:rsidRDefault="008D3862" w:rsidP="006A23C4">
            <w:pPr>
              <w:spacing w:after="0" w:line="240" w:lineRule="auto"/>
              <w:rPr>
                <w:rFonts w:ascii="Garamond" w:hAnsi="Garamond"/>
                <w:spacing w:val="-4"/>
                <w:sz w:val="24"/>
                <w:szCs w:val="24"/>
              </w:rPr>
            </w:pPr>
            <w:r w:rsidRPr="00D03BF7">
              <w:rPr>
                <w:rFonts w:ascii="Garamond" w:hAnsi="Garamond"/>
                <w:spacing w:val="-4"/>
                <w:sz w:val="24"/>
                <w:szCs w:val="24"/>
              </w:rPr>
              <w:t>Soodustada vähemusrahvuste kultuuriseltside loomist ja tegutsemist, läbi projektikonkursside kaasates neid lõimumisprotsessi ja aidata neil säilitada oma kultuuriruumi (rahastamine riigieelarvest).</w:t>
            </w:r>
          </w:p>
        </w:tc>
        <w:tc>
          <w:tcPr>
            <w:tcW w:w="4918" w:type="dxa"/>
            <w:vAlign w:val="center"/>
          </w:tcPr>
          <w:p w14:paraId="793BAC12"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01451CEA" w14:textId="77777777" w:rsidR="008D3862" w:rsidRPr="004022A7" w:rsidRDefault="008D3862" w:rsidP="006A23C4">
            <w:pPr>
              <w:spacing w:after="0" w:line="240" w:lineRule="auto"/>
              <w:rPr>
                <w:rFonts w:ascii="Garamond" w:hAnsi="Garamond"/>
                <w:spacing w:val="-4"/>
                <w:sz w:val="24"/>
                <w:szCs w:val="24"/>
              </w:rPr>
            </w:pPr>
          </w:p>
        </w:tc>
      </w:tr>
      <w:tr w:rsidR="008D3862" w:rsidRPr="004022A7" w14:paraId="05FC85F9" w14:textId="77777777" w:rsidTr="006A23C4">
        <w:trPr>
          <w:trHeight w:val="2489"/>
          <w:jc w:val="center"/>
        </w:trPr>
        <w:tc>
          <w:tcPr>
            <w:tcW w:w="559" w:type="dxa"/>
          </w:tcPr>
          <w:p w14:paraId="78F6F3F2"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34F97A69" w14:textId="77777777" w:rsidR="008D3862" w:rsidRPr="00D03BF7" w:rsidRDefault="008D3862" w:rsidP="006A23C4">
            <w:pPr>
              <w:spacing w:after="0" w:line="240" w:lineRule="auto"/>
              <w:rPr>
                <w:rFonts w:ascii="Garamond" w:hAnsi="Garamond"/>
                <w:spacing w:val="-4"/>
                <w:sz w:val="24"/>
                <w:szCs w:val="24"/>
              </w:rPr>
            </w:pPr>
            <w:r w:rsidRPr="00D03BF7">
              <w:rPr>
                <w:rFonts w:ascii="Garamond" w:hAnsi="Garamond"/>
                <w:spacing w:val="-4"/>
                <w:sz w:val="24"/>
                <w:szCs w:val="24"/>
              </w:rPr>
              <w:t>Viia läbi kohalike omavalitsuste uussisserändajatega vahetult kokkupuutuvatele ametnikele tsentraliseeritud koolitused, eesmärgiga tõsta ametnike võimekust uussisserändajate kohanemise toetamisel (rahastamine riigieelarvest).</w:t>
            </w:r>
            <w:bookmarkStart w:id="0" w:name="_GoBack"/>
            <w:bookmarkEnd w:id="0"/>
          </w:p>
        </w:tc>
        <w:tc>
          <w:tcPr>
            <w:tcW w:w="4918" w:type="dxa"/>
            <w:vAlign w:val="center"/>
          </w:tcPr>
          <w:p w14:paraId="61D9CC69"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7B83AFCF" w14:textId="77777777" w:rsidR="008D3862" w:rsidRPr="004022A7" w:rsidRDefault="008D3862" w:rsidP="006A23C4">
            <w:pPr>
              <w:spacing w:after="0" w:line="240" w:lineRule="auto"/>
              <w:rPr>
                <w:rFonts w:ascii="Garamond" w:hAnsi="Garamond"/>
                <w:spacing w:val="-4"/>
                <w:sz w:val="24"/>
                <w:szCs w:val="24"/>
              </w:rPr>
            </w:pPr>
          </w:p>
        </w:tc>
      </w:tr>
      <w:tr w:rsidR="008D3862" w:rsidRPr="004022A7" w14:paraId="197F3CE6" w14:textId="77777777" w:rsidTr="006A23C4">
        <w:trPr>
          <w:trHeight w:val="2489"/>
          <w:jc w:val="center"/>
        </w:trPr>
        <w:tc>
          <w:tcPr>
            <w:tcW w:w="559" w:type="dxa"/>
          </w:tcPr>
          <w:p w14:paraId="43AC58FB" w14:textId="77777777" w:rsidR="008D3862" w:rsidRPr="004022A7" w:rsidRDefault="008D3862" w:rsidP="008D3862">
            <w:pPr>
              <w:pStyle w:val="Loendilik"/>
              <w:numPr>
                <w:ilvl w:val="0"/>
                <w:numId w:val="1"/>
              </w:numPr>
              <w:spacing w:after="0" w:line="240" w:lineRule="auto"/>
              <w:ind w:right="25" w:hanging="720"/>
              <w:rPr>
                <w:rFonts w:ascii="Garamond" w:hAnsi="Garamond"/>
                <w:spacing w:val="-4"/>
                <w:sz w:val="24"/>
                <w:szCs w:val="24"/>
              </w:rPr>
            </w:pPr>
          </w:p>
        </w:tc>
        <w:tc>
          <w:tcPr>
            <w:tcW w:w="6443" w:type="dxa"/>
            <w:vAlign w:val="center"/>
          </w:tcPr>
          <w:p w14:paraId="45DE5F83" w14:textId="77777777" w:rsidR="008D3862" w:rsidRPr="00D03BF7" w:rsidRDefault="008D3862" w:rsidP="006A23C4">
            <w:pPr>
              <w:spacing w:after="0" w:line="240" w:lineRule="auto"/>
              <w:rPr>
                <w:rFonts w:ascii="Garamond" w:hAnsi="Garamond"/>
                <w:spacing w:val="-4"/>
                <w:sz w:val="24"/>
                <w:szCs w:val="24"/>
              </w:rPr>
            </w:pPr>
            <w:r w:rsidRPr="00D03BF7">
              <w:rPr>
                <w:rFonts w:ascii="Garamond" w:hAnsi="Garamond"/>
                <w:spacing w:val="-4"/>
                <w:sz w:val="24"/>
                <w:szCs w:val="24"/>
              </w:rPr>
              <w:t>Rahvusvahelise kaitse saanud pagulaste toimetuleku edendamiseks on vaja tõsta tugiisiku rolli ja tähtsust ning suurendada teenuse mahtu, selle eesmärgi täitmisele aitaks kaasa ka pagulase tugiisiku ja omavalitsuste koostöö tihendamine. Tegemist on riigipoolse teenusega (rahastamine riigieelarve vahenditest).</w:t>
            </w:r>
          </w:p>
        </w:tc>
        <w:tc>
          <w:tcPr>
            <w:tcW w:w="4918" w:type="dxa"/>
            <w:vAlign w:val="center"/>
          </w:tcPr>
          <w:p w14:paraId="7F03059E"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31FB8738" w14:textId="77777777" w:rsidR="008D3862" w:rsidRPr="004022A7" w:rsidRDefault="008D3862" w:rsidP="006A23C4">
            <w:pPr>
              <w:spacing w:after="0" w:line="240" w:lineRule="auto"/>
              <w:rPr>
                <w:rFonts w:ascii="Garamond" w:hAnsi="Garamond"/>
                <w:spacing w:val="-4"/>
                <w:sz w:val="24"/>
                <w:szCs w:val="24"/>
              </w:rPr>
            </w:pPr>
          </w:p>
        </w:tc>
      </w:tr>
      <w:tr w:rsidR="008D3862" w:rsidRPr="004022A7" w14:paraId="34D74481" w14:textId="77777777" w:rsidTr="006A23C4">
        <w:trPr>
          <w:trHeight w:val="2489"/>
          <w:jc w:val="center"/>
        </w:trPr>
        <w:tc>
          <w:tcPr>
            <w:tcW w:w="559" w:type="dxa"/>
          </w:tcPr>
          <w:p w14:paraId="414FF6F5" w14:textId="77777777" w:rsidR="008D3862" w:rsidRDefault="008D3862" w:rsidP="006A23C4">
            <w:pPr>
              <w:spacing w:after="0" w:line="240" w:lineRule="auto"/>
              <w:ind w:right="25"/>
              <w:rPr>
                <w:rFonts w:ascii="Garamond" w:hAnsi="Garamond"/>
                <w:spacing w:val="-4"/>
                <w:sz w:val="24"/>
                <w:szCs w:val="24"/>
              </w:rPr>
            </w:pPr>
          </w:p>
          <w:p w14:paraId="33C1DFB5" w14:textId="77777777" w:rsidR="008D3862" w:rsidRPr="004619F8" w:rsidRDefault="008D3862" w:rsidP="006A23C4">
            <w:pPr>
              <w:spacing w:after="0" w:line="240" w:lineRule="auto"/>
              <w:ind w:right="25"/>
              <w:rPr>
                <w:rFonts w:ascii="Garamond" w:hAnsi="Garamond"/>
                <w:spacing w:val="-4"/>
                <w:sz w:val="24"/>
                <w:szCs w:val="24"/>
              </w:rPr>
            </w:pPr>
            <w:r w:rsidRPr="004619F8">
              <w:rPr>
                <w:rFonts w:ascii="Garamond" w:hAnsi="Garamond"/>
                <w:color w:val="FF0000"/>
                <w:spacing w:val="-4"/>
                <w:sz w:val="24"/>
                <w:szCs w:val="24"/>
              </w:rPr>
              <w:t>9.</w:t>
            </w:r>
          </w:p>
        </w:tc>
        <w:tc>
          <w:tcPr>
            <w:tcW w:w="6443" w:type="dxa"/>
            <w:vAlign w:val="center"/>
          </w:tcPr>
          <w:p w14:paraId="2FB00044" w14:textId="77777777" w:rsidR="008D3862" w:rsidRPr="00D03BF7" w:rsidRDefault="008D3862" w:rsidP="006A23C4">
            <w:pPr>
              <w:spacing w:after="0" w:line="240" w:lineRule="auto"/>
              <w:rPr>
                <w:rFonts w:ascii="Garamond" w:hAnsi="Garamond"/>
                <w:spacing w:val="-4"/>
                <w:sz w:val="24"/>
                <w:szCs w:val="24"/>
              </w:rPr>
            </w:pPr>
            <w:r w:rsidRPr="00D03BF7">
              <w:rPr>
                <w:rFonts w:ascii="Garamond" w:hAnsi="Garamond"/>
                <w:spacing w:val="-4"/>
                <w:sz w:val="24"/>
                <w:szCs w:val="24"/>
              </w:rPr>
              <w:t>Välja selgitada kitsaskohad uussisserändajate kohanemisel ja neile teenuste osutamisel, eesmärgiga kujundada konkreetsed ettepanekud riigile ja omavalitsustele täiendavate meetmete rakendamiseks, selleks läbi viia uuring riigi ja omavalitsuste koostöös (rahastamine riigieelarvest).</w:t>
            </w:r>
          </w:p>
        </w:tc>
        <w:tc>
          <w:tcPr>
            <w:tcW w:w="4918" w:type="dxa"/>
            <w:vAlign w:val="center"/>
          </w:tcPr>
          <w:p w14:paraId="0E06FE8F"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3D605CDC" w14:textId="77777777" w:rsidR="008D3862" w:rsidRPr="004022A7" w:rsidRDefault="008D3862" w:rsidP="006A23C4">
            <w:pPr>
              <w:spacing w:after="0" w:line="240" w:lineRule="auto"/>
              <w:rPr>
                <w:rFonts w:ascii="Garamond" w:hAnsi="Garamond"/>
                <w:spacing w:val="-4"/>
                <w:sz w:val="24"/>
                <w:szCs w:val="24"/>
              </w:rPr>
            </w:pPr>
          </w:p>
        </w:tc>
      </w:tr>
      <w:tr w:rsidR="008D3862" w:rsidRPr="004022A7" w14:paraId="4B78DC1C" w14:textId="77777777" w:rsidTr="006A23C4">
        <w:trPr>
          <w:jc w:val="center"/>
        </w:trPr>
        <w:tc>
          <w:tcPr>
            <w:tcW w:w="559" w:type="dxa"/>
            <w:shd w:val="clear" w:color="auto" w:fill="FBD4B4"/>
            <w:vAlign w:val="center"/>
          </w:tcPr>
          <w:p w14:paraId="416BE7DF" w14:textId="77777777" w:rsidR="008D3862" w:rsidRPr="004022A7" w:rsidRDefault="008D3862" w:rsidP="006A23C4">
            <w:pPr>
              <w:pStyle w:val="Loendilik"/>
              <w:spacing w:after="0" w:line="240" w:lineRule="auto"/>
              <w:ind w:left="0" w:right="25"/>
              <w:rPr>
                <w:rFonts w:ascii="Garamond" w:hAnsi="Garamond"/>
                <w:spacing w:val="-4"/>
                <w:sz w:val="24"/>
                <w:szCs w:val="24"/>
              </w:rPr>
            </w:pPr>
            <w:r w:rsidRPr="004022A7">
              <w:rPr>
                <w:rFonts w:ascii="Garamond" w:hAnsi="Garamond"/>
                <w:b/>
                <w:spacing w:val="-4"/>
                <w:sz w:val="24"/>
                <w:szCs w:val="24"/>
              </w:rPr>
              <w:t>Jrk nr</w:t>
            </w:r>
          </w:p>
        </w:tc>
        <w:tc>
          <w:tcPr>
            <w:tcW w:w="6443" w:type="dxa"/>
            <w:shd w:val="clear" w:color="auto" w:fill="FBD4B4"/>
            <w:vAlign w:val="center"/>
          </w:tcPr>
          <w:p w14:paraId="63AB3C23" w14:textId="77777777" w:rsidR="008D3862" w:rsidRPr="004022A7" w:rsidRDefault="008D3862" w:rsidP="006A23C4">
            <w:pPr>
              <w:pStyle w:val="Kehatekst2"/>
              <w:rPr>
                <w:rFonts w:ascii="Garamond" w:eastAsia="Calibri" w:hAnsi="Garamond"/>
                <w:b w:val="0"/>
                <w:spacing w:val="-4"/>
                <w:szCs w:val="24"/>
              </w:rPr>
            </w:pPr>
            <w:r w:rsidRPr="004022A7">
              <w:rPr>
                <w:rFonts w:ascii="Garamond" w:hAnsi="Garamond"/>
                <w:spacing w:val="-4"/>
                <w:szCs w:val="24"/>
              </w:rPr>
              <w:t>Valitsuskomisjoni ettepanek ja põhjendus</w:t>
            </w:r>
          </w:p>
        </w:tc>
        <w:tc>
          <w:tcPr>
            <w:tcW w:w="4918" w:type="dxa"/>
            <w:shd w:val="clear" w:color="auto" w:fill="FBD4B4"/>
            <w:vAlign w:val="center"/>
          </w:tcPr>
          <w:p w14:paraId="3B2EFAA9" w14:textId="77777777" w:rsidR="008D3862" w:rsidRPr="004022A7" w:rsidRDefault="008D3862" w:rsidP="006A23C4">
            <w:pPr>
              <w:spacing w:after="0" w:line="240" w:lineRule="auto"/>
              <w:rPr>
                <w:rFonts w:ascii="Garamond" w:hAnsi="Garamond"/>
                <w:spacing w:val="-4"/>
                <w:sz w:val="24"/>
                <w:szCs w:val="24"/>
              </w:rPr>
            </w:pPr>
            <w:r w:rsidRPr="004022A7">
              <w:rPr>
                <w:rFonts w:ascii="Garamond" w:eastAsia="Times New Roman" w:hAnsi="Garamond"/>
                <w:b/>
                <w:spacing w:val="-4"/>
                <w:sz w:val="24"/>
                <w:szCs w:val="24"/>
              </w:rPr>
              <w:t>ELVL seisukoht</w:t>
            </w:r>
          </w:p>
        </w:tc>
        <w:tc>
          <w:tcPr>
            <w:tcW w:w="3371" w:type="dxa"/>
            <w:shd w:val="clear" w:color="auto" w:fill="FBD4B4"/>
            <w:vAlign w:val="center"/>
          </w:tcPr>
          <w:p w14:paraId="1452E71C" w14:textId="77777777" w:rsidR="008D3862" w:rsidRPr="004022A7" w:rsidRDefault="008D3862" w:rsidP="006A23C4">
            <w:pPr>
              <w:spacing w:after="0" w:line="240" w:lineRule="auto"/>
              <w:rPr>
                <w:rFonts w:ascii="Garamond" w:hAnsi="Garamond"/>
                <w:bCs/>
                <w:i/>
                <w:spacing w:val="-4"/>
                <w:sz w:val="24"/>
                <w:szCs w:val="24"/>
              </w:rPr>
            </w:pPr>
            <w:r>
              <w:rPr>
                <w:rFonts w:ascii="Garamond" w:eastAsia="Times New Roman" w:hAnsi="Garamond"/>
                <w:b/>
                <w:spacing w:val="-4"/>
                <w:sz w:val="24"/>
                <w:szCs w:val="24"/>
              </w:rPr>
              <w:t>Kokkulepe</w:t>
            </w:r>
          </w:p>
        </w:tc>
      </w:tr>
      <w:tr w:rsidR="008D3862" w:rsidRPr="004022A7" w14:paraId="0DEDD74E" w14:textId="77777777" w:rsidTr="006A23C4">
        <w:trPr>
          <w:jc w:val="center"/>
        </w:trPr>
        <w:tc>
          <w:tcPr>
            <w:tcW w:w="559" w:type="dxa"/>
          </w:tcPr>
          <w:p w14:paraId="76A10E30" w14:textId="77777777" w:rsidR="008D3862" w:rsidRPr="004022A7" w:rsidRDefault="008D3862" w:rsidP="006A23C4">
            <w:pPr>
              <w:pStyle w:val="Loendilik"/>
              <w:spacing w:after="0" w:line="240" w:lineRule="auto"/>
              <w:ind w:left="0" w:right="25"/>
              <w:rPr>
                <w:rFonts w:ascii="Garamond" w:hAnsi="Garamond"/>
                <w:spacing w:val="-4"/>
                <w:sz w:val="24"/>
                <w:szCs w:val="24"/>
              </w:rPr>
            </w:pPr>
            <w:r w:rsidRPr="004022A7">
              <w:rPr>
                <w:rFonts w:ascii="Garamond" w:hAnsi="Garamond"/>
                <w:spacing w:val="-4"/>
                <w:sz w:val="24"/>
                <w:szCs w:val="24"/>
              </w:rPr>
              <w:t>1.</w:t>
            </w:r>
          </w:p>
        </w:tc>
        <w:tc>
          <w:tcPr>
            <w:tcW w:w="6443" w:type="dxa"/>
            <w:vAlign w:val="center"/>
          </w:tcPr>
          <w:p w14:paraId="1BAA367C" w14:textId="77777777" w:rsidR="008D3862" w:rsidRPr="004022A7" w:rsidRDefault="008D3862" w:rsidP="006A23C4">
            <w:pPr>
              <w:spacing w:after="0" w:line="240" w:lineRule="auto"/>
              <w:rPr>
                <w:rFonts w:ascii="Garamond" w:hAnsi="Garamond"/>
                <w:spacing w:val="-4"/>
                <w:sz w:val="24"/>
                <w:szCs w:val="24"/>
              </w:rPr>
            </w:pPr>
            <w:r w:rsidRPr="004022A7">
              <w:rPr>
                <w:rFonts w:ascii="Garamond" w:hAnsi="Garamond"/>
                <w:spacing w:val="-4"/>
                <w:sz w:val="24"/>
                <w:szCs w:val="24"/>
              </w:rPr>
              <w:t>Koostada valitsuskomisjonipoolsed juhised, mida saab kasutada lõimumisvaldkonda puudutava info kajastamiseks ühistel alustel kohalikes omavalitsustes veebis ja trükistes.</w:t>
            </w:r>
          </w:p>
        </w:tc>
        <w:tc>
          <w:tcPr>
            <w:tcW w:w="4918" w:type="dxa"/>
            <w:vAlign w:val="center"/>
          </w:tcPr>
          <w:p w14:paraId="6BF8EE03" w14:textId="77777777" w:rsidR="008D3862" w:rsidRPr="004022A7" w:rsidRDefault="008D3862" w:rsidP="006A23C4">
            <w:pPr>
              <w:spacing w:after="0" w:line="240" w:lineRule="auto"/>
              <w:rPr>
                <w:rFonts w:ascii="Garamond" w:hAnsi="Garamond"/>
                <w:spacing w:val="-4"/>
                <w:sz w:val="24"/>
                <w:szCs w:val="24"/>
              </w:rPr>
            </w:pPr>
          </w:p>
        </w:tc>
        <w:tc>
          <w:tcPr>
            <w:tcW w:w="3371" w:type="dxa"/>
            <w:vAlign w:val="center"/>
          </w:tcPr>
          <w:p w14:paraId="47CFE76B" w14:textId="77777777" w:rsidR="008D3862" w:rsidRPr="004022A7" w:rsidRDefault="008D3862" w:rsidP="006A23C4">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Pr>
                <w:rFonts w:ascii="Garamond" w:hAnsi="Garamond"/>
                <w:spacing w:val="-4"/>
                <w:sz w:val="24"/>
                <w:szCs w:val="24"/>
              </w:rPr>
              <w:t>.</w:t>
            </w:r>
          </w:p>
        </w:tc>
      </w:tr>
    </w:tbl>
    <w:p w14:paraId="7869803B" w14:textId="77777777" w:rsidR="009B4C49" w:rsidRDefault="009B4C49"/>
    <w:sectPr w:rsidR="009B4C49" w:rsidSect="008D38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1488C"/>
    <w:multiLevelType w:val="hybridMultilevel"/>
    <w:tmpl w:val="459E0D5C"/>
    <w:lvl w:ilvl="0" w:tplc="D61EEC34">
      <w:start w:val="1"/>
      <w:numFmt w:val="decimal"/>
      <w:lvlText w:val="%1."/>
      <w:lvlJc w:val="left"/>
      <w:pPr>
        <w:ind w:left="720" w:hanging="360"/>
      </w:pPr>
      <w:rPr>
        <w:color w:val="FF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2"/>
    <w:rsid w:val="008D3862"/>
    <w:rsid w:val="009B4C49"/>
    <w:rsid w:val="00D03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5AFA"/>
  <w15:chartTrackingRefBased/>
  <w15:docId w15:val="{904C2E7A-544A-4DA1-BD8F-57D7C5DF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3862"/>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D3862"/>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2">
    <w:name w:val="Body Text 2"/>
    <w:basedOn w:val="Normaallaad"/>
    <w:link w:val="Kehatekst2Mrk"/>
    <w:uiPriority w:val="99"/>
    <w:semiHidden/>
    <w:rsid w:val="008D3862"/>
    <w:pPr>
      <w:spacing w:after="0" w:line="240" w:lineRule="auto"/>
    </w:pPr>
    <w:rPr>
      <w:rFonts w:ascii="Times New Roman" w:eastAsia="Times New Roman" w:hAnsi="Times New Roman"/>
      <w:b/>
      <w:sz w:val="24"/>
      <w:szCs w:val="20"/>
    </w:rPr>
  </w:style>
  <w:style w:type="character" w:customStyle="1" w:styleId="Kehatekst2Mrk">
    <w:name w:val="Kehatekst 2 Märk"/>
    <w:basedOn w:val="Liguvaikefont"/>
    <w:link w:val="Kehatekst2"/>
    <w:uiPriority w:val="99"/>
    <w:semiHidden/>
    <w:rsid w:val="008D3862"/>
    <w:rPr>
      <w:rFonts w:ascii="Times New Roman" w:eastAsia="Times New Roman" w:hAnsi="Times New Roman" w:cs="Times New Roman"/>
      <w:b/>
      <w:sz w:val="24"/>
      <w:szCs w:val="20"/>
    </w:rPr>
  </w:style>
  <w:style w:type="paragraph" w:styleId="Loendilik">
    <w:name w:val="List Paragraph"/>
    <w:basedOn w:val="Normaallaad"/>
    <w:uiPriority w:val="34"/>
    <w:qFormat/>
    <w:rsid w:val="008D3862"/>
    <w:pPr>
      <w:ind w:left="720"/>
    </w:pPr>
    <w:rPr>
      <w:rFonts w:eastAsia="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ee/et/loimumise-mee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7C9D7E32A07478E70149F33D6BB4D" ma:contentTypeVersion="11" ma:contentTypeDescription="Create a new document." ma:contentTypeScope="" ma:versionID="ec6072f1809585d85a35e48acb79f93d">
  <xsd:schema xmlns:xsd="http://www.w3.org/2001/XMLSchema" xmlns:xs="http://www.w3.org/2001/XMLSchema" xmlns:p="http://schemas.microsoft.com/office/2006/metadata/properties" xmlns:ns3="7ef0cdc4-cd7a-493f-b970-7fb20a21893a" xmlns:ns4="034ef33e-00d3-4289-a8da-0748eaed9007" targetNamespace="http://schemas.microsoft.com/office/2006/metadata/properties" ma:root="true" ma:fieldsID="da6459a6624b8aa50a22100a9124135d" ns3:_="" ns4:_="">
    <xsd:import namespace="7ef0cdc4-cd7a-493f-b970-7fb20a21893a"/>
    <xsd:import namespace="034ef33e-00d3-4289-a8da-0748eaed90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0cdc4-cd7a-493f-b970-7fb20a218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ef33e-00d3-4289-a8da-0748eaed90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08874-9986-4160-A9B8-AF048D2DEB23}">
  <ds:schemaRefs>
    <ds:schemaRef ds:uri="http://purl.org/dc/terms/"/>
    <ds:schemaRef ds:uri="http://schemas.openxmlformats.org/package/2006/metadata/core-properties"/>
    <ds:schemaRef ds:uri="http://purl.org/dc/dcmitype/"/>
    <ds:schemaRef ds:uri="7ef0cdc4-cd7a-493f-b970-7fb20a21893a"/>
    <ds:schemaRef ds:uri="http://purl.org/dc/elements/1.1/"/>
    <ds:schemaRef ds:uri="http://schemas.microsoft.com/office/2006/metadata/properties"/>
    <ds:schemaRef ds:uri="http://schemas.microsoft.com/office/2006/documentManagement/types"/>
    <ds:schemaRef ds:uri="http://schemas.microsoft.com/office/infopath/2007/PartnerControls"/>
    <ds:schemaRef ds:uri="034ef33e-00d3-4289-a8da-0748eaed9007"/>
    <ds:schemaRef ds:uri="http://www.w3.org/XML/1998/namespace"/>
  </ds:schemaRefs>
</ds:datastoreItem>
</file>

<file path=customXml/itemProps2.xml><?xml version="1.0" encoding="utf-8"?>
<ds:datastoreItem xmlns:ds="http://schemas.openxmlformats.org/officeDocument/2006/customXml" ds:itemID="{F7CE7721-3BB9-4D6C-A921-1C24A2B7C5E5}">
  <ds:schemaRefs>
    <ds:schemaRef ds:uri="http://schemas.microsoft.com/sharepoint/v3/contenttype/forms"/>
  </ds:schemaRefs>
</ds:datastoreItem>
</file>

<file path=customXml/itemProps3.xml><?xml version="1.0" encoding="utf-8"?>
<ds:datastoreItem xmlns:ds="http://schemas.openxmlformats.org/officeDocument/2006/customXml" ds:itemID="{4A884703-778A-4046-A397-3EED1F44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0cdc4-cd7a-493f-b970-7fb20a21893a"/>
    <ds:schemaRef ds:uri="034ef33e-00d3-4289-a8da-0748ea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4725</Characters>
  <Application>Microsoft Office Word</Application>
  <DocSecurity>4</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Köster</dc:creator>
  <cp:keywords/>
  <dc:description/>
  <cp:lastModifiedBy>Inga Köster</cp:lastModifiedBy>
  <cp:revision>2</cp:revision>
  <dcterms:created xsi:type="dcterms:W3CDTF">2019-11-15T09:48:00Z</dcterms:created>
  <dcterms:modified xsi:type="dcterms:W3CDTF">2019-11-15T09:48:00Z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0x010100CD87C9D7E32A07478E70149F33D6BB4D</vt:lpwstr>
  </property>
</Properties>
</file>