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FC333" w14:textId="03D1763A" w:rsidR="002651FB" w:rsidRPr="006D15DA" w:rsidRDefault="002651FB" w:rsidP="002651FB">
      <w:pPr>
        <w:pStyle w:val="Kehatekst"/>
        <w:rPr>
          <w:lang w:val="et-EE"/>
        </w:rPr>
      </w:pPr>
      <w:r w:rsidRPr="006D15DA">
        <w:rPr>
          <w:rStyle w:val="Tugev"/>
          <w:lang w:val="et-EE"/>
        </w:rPr>
        <w:t>ELVL ettepanekud 202</w:t>
      </w:r>
      <w:r w:rsidR="00E51824">
        <w:rPr>
          <w:rStyle w:val="Tugev"/>
          <w:lang w:val="et-EE"/>
        </w:rPr>
        <w:t>1</w:t>
      </w:r>
      <w:r w:rsidRPr="006D15DA">
        <w:rPr>
          <w:rStyle w:val="Tugev"/>
          <w:lang w:val="et-EE"/>
        </w:rPr>
        <w:t xml:space="preserve"> aasta komisjonide eelarveläbirääkimistele</w:t>
      </w:r>
    </w:p>
    <w:p w14:paraId="48205810" w14:textId="28715915" w:rsidR="002651FB" w:rsidRPr="00EB0195" w:rsidRDefault="00093C1E" w:rsidP="002651FB">
      <w:pPr>
        <w:pStyle w:val="Kehatekst"/>
        <w:rPr>
          <w:b/>
          <w:bCs/>
          <w:lang w:val="et-EE"/>
        </w:rPr>
      </w:pPr>
      <w:bookmarkStart w:id="0" w:name="rahandus"/>
      <w:bookmarkEnd w:id="0"/>
      <w:r>
        <w:rPr>
          <w:b/>
          <w:bCs/>
          <w:lang w:val="et-EE"/>
        </w:rPr>
        <w:t xml:space="preserve">Elamuehitus, </w:t>
      </w:r>
      <w:r w:rsidR="00EB0195" w:rsidRPr="00EB0195">
        <w:rPr>
          <w:b/>
          <w:bCs/>
          <w:lang w:val="et-EE"/>
        </w:rPr>
        <w:t>Transpordi- ja teehoiu valdkond</w:t>
      </w:r>
    </w:p>
    <w:tbl>
      <w:tblPr>
        <w:tblW w:w="952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78"/>
        <w:gridCol w:w="5447"/>
      </w:tblGrid>
      <w:tr w:rsidR="002651FB" w:rsidRPr="006D15DA" w14:paraId="3CB59DBC" w14:textId="77777777" w:rsidTr="00E07628">
        <w:tc>
          <w:tcPr>
            <w:tcW w:w="4078" w:type="dxa"/>
            <w:shd w:val="clear" w:color="auto" w:fill="auto"/>
            <w:vAlign w:val="center"/>
          </w:tcPr>
          <w:p w14:paraId="1BDF442B" w14:textId="77777777" w:rsidR="002651FB" w:rsidRPr="001B2ACD" w:rsidRDefault="00EB0195" w:rsidP="006D15DA">
            <w:pPr>
              <w:rPr>
                <w:b/>
                <w:bCs/>
                <w:highlight w:val="yellow"/>
                <w:lang w:val="et-EE"/>
              </w:rPr>
            </w:pPr>
            <w:r w:rsidRPr="008776C7">
              <w:rPr>
                <w:b/>
                <w:bCs/>
                <w:lang w:val="et-EE"/>
              </w:rPr>
              <w:t>ELVL ettepanekud</w:t>
            </w:r>
          </w:p>
        </w:tc>
        <w:tc>
          <w:tcPr>
            <w:tcW w:w="5447" w:type="dxa"/>
            <w:shd w:val="clear" w:color="auto" w:fill="auto"/>
            <w:vAlign w:val="center"/>
          </w:tcPr>
          <w:p w14:paraId="5F46DDBE" w14:textId="77777777" w:rsidR="002651FB" w:rsidRPr="001B2ACD" w:rsidRDefault="00EB0195" w:rsidP="006D15DA">
            <w:pPr>
              <w:rPr>
                <w:b/>
                <w:bCs/>
                <w:highlight w:val="yellow"/>
                <w:lang w:val="et-EE"/>
              </w:rPr>
            </w:pPr>
            <w:r w:rsidRPr="008776C7">
              <w:rPr>
                <w:b/>
                <w:bCs/>
                <w:lang w:val="et-EE"/>
              </w:rPr>
              <w:t>Põhjendus</w:t>
            </w:r>
          </w:p>
        </w:tc>
      </w:tr>
      <w:tr w:rsidR="0062149F" w:rsidRPr="006D15DA" w14:paraId="3E44459F" w14:textId="77777777" w:rsidTr="00E07628">
        <w:tc>
          <w:tcPr>
            <w:tcW w:w="4078" w:type="dxa"/>
            <w:shd w:val="clear" w:color="auto" w:fill="auto"/>
            <w:vAlign w:val="center"/>
          </w:tcPr>
          <w:p w14:paraId="50FF9266" w14:textId="238AF493" w:rsidR="005575B6" w:rsidRDefault="005575B6" w:rsidP="00AA20EB">
            <w:pPr>
              <w:rPr>
                <w:b/>
                <w:bCs/>
                <w:lang w:val="et-EE"/>
              </w:rPr>
            </w:pPr>
            <w:r w:rsidRPr="001B2ACD">
              <w:rPr>
                <w:b/>
                <w:bCs/>
                <w:lang w:val="et-EE"/>
              </w:rPr>
              <w:t xml:space="preserve">Ettepanek </w:t>
            </w:r>
            <w:r w:rsidR="001B2ACD">
              <w:rPr>
                <w:b/>
                <w:bCs/>
                <w:lang w:val="et-EE"/>
              </w:rPr>
              <w:t>1</w:t>
            </w:r>
          </w:p>
          <w:p w14:paraId="24D581A6" w14:textId="77777777" w:rsidR="0056071E" w:rsidRPr="001B2ACD" w:rsidRDefault="0056071E" w:rsidP="00AA20EB">
            <w:pPr>
              <w:rPr>
                <w:b/>
                <w:bCs/>
                <w:lang w:val="et-EE"/>
              </w:rPr>
            </w:pPr>
          </w:p>
          <w:p w14:paraId="6203E441" w14:textId="77A0373B" w:rsidR="0062149F" w:rsidRPr="00EB0195" w:rsidRDefault="005575B6" w:rsidP="00AA20EB">
            <w:pPr>
              <w:rPr>
                <w:lang w:val="et-EE"/>
              </w:rPr>
            </w:pPr>
            <w:r w:rsidRPr="005575B6">
              <w:rPr>
                <w:lang w:val="et-EE"/>
              </w:rPr>
              <w:t>Eraldada kohalikele omavalitsustele vahendid eluasemeteenuse kättesaadavuse parandamiseks, arvestades summa määramisel elanike arvu/toimetuleku toetuse saajate arvu kohalikus omavalitsuses</w:t>
            </w:r>
          </w:p>
        </w:tc>
        <w:tc>
          <w:tcPr>
            <w:tcW w:w="5447" w:type="dxa"/>
            <w:shd w:val="clear" w:color="auto" w:fill="auto"/>
            <w:vAlign w:val="center"/>
          </w:tcPr>
          <w:p w14:paraId="47BD315E" w14:textId="0E516784" w:rsidR="004255FC" w:rsidRPr="004255FC" w:rsidRDefault="004255FC" w:rsidP="004255FC">
            <w:pPr>
              <w:rPr>
                <w:lang w:val="et-EE"/>
              </w:rPr>
            </w:pPr>
            <w:r w:rsidRPr="004255FC">
              <w:rPr>
                <w:lang w:val="et-EE"/>
              </w:rPr>
              <w:t xml:space="preserve">Sotsiaalhoolekande seaduse §41 sätestab eluruumi tagamise </w:t>
            </w:r>
            <w:r w:rsidRPr="008F6B01">
              <w:rPr>
                <w:i/>
                <w:iCs/>
                <w:lang w:val="et-EE"/>
              </w:rPr>
              <w:t>(s.o. eluruumi kasutamise võimaluse kindlustamine isikule, kes ei ole sotsiaalmajanduslikust olukorrast tulenevalt võimeline enda ja oma perekonna vajadustele vastavat eluruumi tagama</w:t>
            </w:r>
            <w:r w:rsidRPr="004255FC">
              <w:rPr>
                <w:lang w:val="et-EE"/>
              </w:rPr>
              <w:t>) kui kohaliku omavalitsuse üksuse korraldatava sotsiaalteenuse. Aina suurenev teenuse vajadus ületab kohalike omavalitsuste, eriti suuremate linnade võimalusi nõudlusele pakkumisega vastata. Tallinnas oli seisuga 01.11.2018 eluruumi üürimist taotlejana arvele võetud 2677 isikut, sh 576 isikut sotsiaaleluruumi taotlejana (üksinda elavad vanurid ja vanuritest paarid, puudega isikud, kellel ei ole seadusjärgseid ülalpidajaid või kes vajavad kõrvalist abi või kelle kasutuses olevas eluruumis ei ole võimalik nende hooldamist korraldada; vähekindlustatud lastega pered, kes vajavad sotsiaalteenuseid; teistel mõjuvatel sotsiaalsetel põhjustel).</w:t>
            </w:r>
          </w:p>
          <w:p w14:paraId="401BD052" w14:textId="77777777" w:rsidR="004255FC" w:rsidRPr="004255FC" w:rsidRDefault="004255FC" w:rsidP="004255FC">
            <w:pPr>
              <w:rPr>
                <w:lang w:val="et-EE"/>
              </w:rPr>
            </w:pPr>
          </w:p>
          <w:p w14:paraId="4A587318" w14:textId="0613A638" w:rsidR="0062149F" w:rsidRPr="00EB0195" w:rsidRDefault="004255FC" w:rsidP="004255FC">
            <w:pPr>
              <w:rPr>
                <w:lang w:val="et-EE"/>
              </w:rPr>
            </w:pPr>
            <w:r w:rsidRPr="004255FC">
              <w:rPr>
                <w:lang w:val="et-EE"/>
              </w:rPr>
              <w:t>Ettevõtlus- ja infotehnoloogiaministri 13.07.2017 määrus nr 38 „Kohaliku omavalitsuse üksuse elamufondi arendamiseks juhtumipõhise investeeringutoetuse andmise tingimused ja kord“ näeb muude eesmärkide kõrval ette ka investeeringute soodustamist sotsiaalteenuse osutamise raames või tühjenevate haldamata korterelamute probleemi lahendamiseks vajalike eluruumide pakkumiseks sotsiaalmajanduslikult vähekindlustatud sihtgrupile. Sama määruse § 8 lg 3 sätestab maksimaalseks toetussummaks kõigi taotlusvoorude peale kokku kuni 2 500 000 eurot kohaliku omavalitsuse üksuse kohta, olenemata selle elanike arvust.</w:t>
            </w:r>
          </w:p>
        </w:tc>
      </w:tr>
      <w:tr w:rsidR="00A578F7" w:rsidRPr="006D15DA" w14:paraId="522D2A33" w14:textId="77777777" w:rsidTr="00E07628">
        <w:tc>
          <w:tcPr>
            <w:tcW w:w="4078" w:type="dxa"/>
          </w:tcPr>
          <w:p w14:paraId="36885C4E" w14:textId="77777777" w:rsidR="00367F70" w:rsidRDefault="00367F70" w:rsidP="00A578F7">
            <w:pPr>
              <w:jc w:val="both"/>
              <w:rPr>
                <w:rFonts w:ascii="Times New Roman" w:eastAsia="Times New Roman" w:hAnsi="Times New Roman" w:cs="Times New Roman"/>
                <w:b/>
                <w:bCs/>
                <w:lang w:eastAsia="et-EE"/>
              </w:rPr>
            </w:pPr>
          </w:p>
          <w:p w14:paraId="7EA3CFAB" w14:textId="4CF6E3A7" w:rsidR="00A578F7" w:rsidRPr="00853E7E" w:rsidRDefault="00A578F7" w:rsidP="00A578F7">
            <w:pPr>
              <w:jc w:val="both"/>
              <w:rPr>
                <w:rFonts w:ascii="Times New Roman" w:eastAsia="Times New Roman" w:hAnsi="Times New Roman" w:cs="Times New Roman"/>
                <w:b/>
                <w:bCs/>
                <w:lang w:val="et-EE" w:eastAsia="et-EE"/>
              </w:rPr>
            </w:pPr>
            <w:r w:rsidRPr="00853E7E">
              <w:rPr>
                <w:rFonts w:ascii="Times New Roman" w:eastAsia="Times New Roman" w:hAnsi="Times New Roman" w:cs="Times New Roman"/>
                <w:b/>
                <w:bCs/>
                <w:lang w:val="et-EE" w:eastAsia="et-EE"/>
              </w:rPr>
              <w:t xml:space="preserve">Ettepanek </w:t>
            </w:r>
            <w:r w:rsidR="001B2ACD" w:rsidRPr="00853E7E">
              <w:rPr>
                <w:rFonts w:ascii="Times New Roman" w:eastAsia="Times New Roman" w:hAnsi="Times New Roman" w:cs="Times New Roman"/>
                <w:b/>
                <w:bCs/>
                <w:lang w:val="et-EE" w:eastAsia="et-EE"/>
              </w:rPr>
              <w:t>2</w:t>
            </w:r>
          </w:p>
          <w:p w14:paraId="51FE4ADD" w14:textId="77777777" w:rsidR="0056071E" w:rsidRPr="00853E7E" w:rsidRDefault="0056071E" w:rsidP="00A578F7">
            <w:pPr>
              <w:jc w:val="both"/>
              <w:rPr>
                <w:rFonts w:ascii="Times New Roman" w:eastAsia="Times New Roman" w:hAnsi="Times New Roman" w:cs="Times New Roman"/>
                <w:b/>
                <w:bCs/>
                <w:lang w:val="et-EE" w:eastAsia="et-EE"/>
              </w:rPr>
            </w:pPr>
          </w:p>
          <w:p w14:paraId="6D62D412" w14:textId="77777777" w:rsidR="00A578F7" w:rsidRPr="00853E7E" w:rsidRDefault="00A578F7" w:rsidP="00A578F7">
            <w:pPr>
              <w:jc w:val="both"/>
              <w:rPr>
                <w:rFonts w:ascii="Times New Roman" w:eastAsia="Calibri" w:hAnsi="Times New Roman" w:cs="Times New Roman"/>
                <w:lang w:val="et-EE" w:eastAsia="et-EE"/>
              </w:rPr>
            </w:pPr>
            <w:r w:rsidRPr="00853E7E">
              <w:rPr>
                <w:rFonts w:ascii="Times New Roman" w:eastAsia="Times New Roman" w:hAnsi="Times New Roman" w:cs="Times New Roman"/>
                <w:lang w:val="et-EE" w:eastAsia="et-EE"/>
              </w:rPr>
              <w:t xml:space="preserve">Tulenevalt Vabariigi Valitsuse tegevusprogrammist tuleb suurendada kohalike teede hoiuks ja </w:t>
            </w:r>
            <w:r w:rsidRPr="00853E7E">
              <w:rPr>
                <w:rFonts w:ascii="Times New Roman" w:hAnsi="Times New Roman" w:cs="Times New Roman"/>
                <w:lang w:val="et-EE"/>
              </w:rPr>
              <w:t>tänavavalgustuse teenuse osutamiseks e</w:t>
            </w:r>
            <w:r w:rsidRPr="00853E7E">
              <w:rPr>
                <w:rFonts w:ascii="Times New Roman" w:eastAsia="Times New Roman" w:hAnsi="Times New Roman" w:cs="Times New Roman"/>
                <w:lang w:val="et-EE" w:eastAsia="et-EE"/>
              </w:rPr>
              <w:t>raldavate vahendite mahtu 2021.aastal vähemalt omavalitsusliitude koostöökogu (KTK) 2020.a taotluse tasemel.</w:t>
            </w: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992"/>
              <w:gridCol w:w="992"/>
            </w:tblGrid>
            <w:tr w:rsidR="00A578F7" w:rsidRPr="00853E7E" w14:paraId="4860517B" w14:textId="77777777" w:rsidTr="00632333">
              <w:tc>
                <w:tcPr>
                  <w:tcW w:w="1129" w:type="dxa"/>
                  <w:tcBorders>
                    <w:top w:val="single" w:sz="4" w:space="0" w:color="auto"/>
                    <w:left w:val="single" w:sz="4" w:space="0" w:color="auto"/>
                    <w:bottom w:val="single" w:sz="4" w:space="0" w:color="auto"/>
                    <w:right w:val="single" w:sz="4" w:space="0" w:color="auto"/>
                  </w:tcBorders>
                </w:tcPr>
                <w:p w14:paraId="036EA79C" w14:textId="77777777" w:rsidR="00A578F7" w:rsidRPr="00853E7E" w:rsidRDefault="00A578F7" w:rsidP="00A578F7">
                  <w:pPr>
                    <w:jc w:val="both"/>
                    <w:rPr>
                      <w:rFonts w:ascii="Times New Roman" w:eastAsia="Times New Roman" w:hAnsi="Times New Roman" w:cs="Times New Roman"/>
                      <w:sz w:val="18"/>
                      <w:szCs w:val="18"/>
                      <w:lang w:val="et-EE" w:eastAsia="et-EE"/>
                    </w:rPr>
                  </w:pPr>
                </w:p>
              </w:tc>
              <w:tc>
                <w:tcPr>
                  <w:tcW w:w="993" w:type="dxa"/>
                  <w:tcBorders>
                    <w:top w:val="single" w:sz="4" w:space="0" w:color="auto"/>
                    <w:left w:val="single" w:sz="4" w:space="0" w:color="auto"/>
                    <w:bottom w:val="single" w:sz="4" w:space="0" w:color="auto"/>
                    <w:right w:val="single" w:sz="4" w:space="0" w:color="auto"/>
                  </w:tcBorders>
                  <w:hideMark/>
                </w:tcPr>
                <w:p w14:paraId="4720C2E5" w14:textId="77777777" w:rsidR="00A578F7" w:rsidRPr="00853E7E" w:rsidRDefault="00A578F7" w:rsidP="00A578F7">
                  <w:pPr>
                    <w:jc w:val="both"/>
                    <w:rPr>
                      <w:rFonts w:ascii="Times New Roman" w:eastAsia="Times New Roman" w:hAnsi="Times New Roman" w:cs="Times New Roman"/>
                      <w:sz w:val="18"/>
                      <w:szCs w:val="18"/>
                      <w:lang w:val="et-EE" w:eastAsia="et-EE"/>
                    </w:rPr>
                  </w:pPr>
                  <w:r w:rsidRPr="00853E7E">
                    <w:rPr>
                      <w:rFonts w:ascii="Times New Roman" w:eastAsia="Times New Roman" w:hAnsi="Times New Roman" w:cs="Times New Roman"/>
                      <w:sz w:val="18"/>
                      <w:szCs w:val="18"/>
                      <w:lang w:val="et-EE" w:eastAsia="et-EE"/>
                    </w:rPr>
                    <w:t xml:space="preserve">2019 </w:t>
                  </w:r>
                  <w:hyperlink r:id="rId9" w:history="1">
                    <w:r w:rsidRPr="00853E7E">
                      <w:rPr>
                        <w:rFonts w:ascii="Times New Roman" w:eastAsia="Times New Roman" w:hAnsi="Times New Roman" w:cs="Times New Roman"/>
                        <w:sz w:val="18"/>
                        <w:szCs w:val="18"/>
                        <w:u w:val="single"/>
                        <w:lang w:val="et-EE" w:eastAsia="et-EE"/>
                      </w:rPr>
                      <w:t xml:space="preserve">eral           </w:t>
                    </w:r>
                    <w:proofErr w:type="spellStart"/>
                    <w:r w:rsidRPr="00853E7E">
                      <w:rPr>
                        <w:rFonts w:ascii="Times New Roman" w:eastAsia="Times New Roman" w:hAnsi="Times New Roman" w:cs="Times New Roman"/>
                        <w:sz w:val="18"/>
                        <w:szCs w:val="18"/>
                        <w:u w:val="single"/>
                        <w:lang w:val="et-EE" w:eastAsia="et-EE"/>
                      </w:rPr>
                      <w:t>dis</w:t>
                    </w:r>
                    <w:proofErr w:type="spellEnd"/>
                  </w:hyperlink>
                </w:p>
              </w:tc>
              <w:tc>
                <w:tcPr>
                  <w:tcW w:w="992" w:type="dxa"/>
                  <w:tcBorders>
                    <w:top w:val="single" w:sz="4" w:space="0" w:color="auto"/>
                    <w:left w:val="single" w:sz="4" w:space="0" w:color="auto"/>
                    <w:bottom w:val="single" w:sz="4" w:space="0" w:color="auto"/>
                    <w:right w:val="single" w:sz="4" w:space="0" w:color="auto"/>
                  </w:tcBorders>
                  <w:hideMark/>
                </w:tcPr>
                <w:p w14:paraId="4EE1A002" w14:textId="77777777" w:rsidR="00A578F7" w:rsidRPr="00853E7E" w:rsidRDefault="00A578F7" w:rsidP="00A578F7">
                  <w:pPr>
                    <w:jc w:val="both"/>
                    <w:rPr>
                      <w:rFonts w:ascii="Times New Roman" w:eastAsia="Times New Roman" w:hAnsi="Times New Roman" w:cs="Times New Roman"/>
                      <w:sz w:val="18"/>
                      <w:szCs w:val="18"/>
                      <w:lang w:val="et-EE" w:eastAsia="et-EE"/>
                    </w:rPr>
                  </w:pPr>
                  <w:r w:rsidRPr="00853E7E">
                    <w:rPr>
                      <w:rFonts w:ascii="Times New Roman" w:eastAsia="Times New Roman" w:hAnsi="Times New Roman" w:cs="Times New Roman"/>
                      <w:sz w:val="18"/>
                      <w:szCs w:val="18"/>
                      <w:lang w:val="et-EE" w:eastAsia="et-EE"/>
                    </w:rPr>
                    <w:t xml:space="preserve">2020 KTK taotlus </w:t>
                  </w:r>
                </w:p>
              </w:tc>
              <w:tc>
                <w:tcPr>
                  <w:tcW w:w="992" w:type="dxa"/>
                  <w:tcBorders>
                    <w:top w:val="single" w:sz="4" w:space="0" w:color="auto"/>
                    <w:left w:val="single" w:sz="4" w:space="0" w:color="auto"/>
                    <w:bottom w:val="single" w:sz="4" w:space="0" w:color="auto"/>
                    <w:right w:val="single" w:sz="4" w:space="0" w:color="auto"/>
                  </w:tcBorders>
                  <w:hideMark/>
                </w:tcPr>
                <w:p w14:paraId="40C45E3E" w14:textId="77777777" w:rsidR="00A578F7" w:rsidRPr="00853E7E" w:rsidRDefault="00A578F7" w:rsidP="00A578F7">
                  <w:pPr>
                    <w:jc w:val="both"/>
                    <w:rPr>
                      <w:rFonts w:ascii="Times New Roman" w:eastAsia="Times New Roman" w:hAnsi="Times New Roman" w:cs="Times New Roman"/>
                      <w:sz w:val="18"/>
                      <w:szCs w:val="18"/>
                      <w:lang w:val="et-EE" w:eastAsia="et-EE"/>
                    </w:rPr>
                  </w:pPr>
                  <w:r w:rsidRPr="00853E7E">
                    <w:rPr>
                      <w:rFonts w:ascii="Times New Roman" w:eastAsia="Times New Roman" w:hAnsi="Times New Roman" w:cs="Times New Roman"/>
                      <w:sz w:val="18"/>
                      <w:szCs w:val="18"/>
                      <w:lang w:val="et-EE" w:eastAsia="et-EE"/>
                    </w:rPr>
                    <w:t>2021 KTK taotlus</w:t>
                  </w:r>
                </w:p>
              </w:tc>
            </w:tr>
            <w:tr w:rsidR="00A578F7" w:rsidRPr="00853E7E" w14:paraId="5FC71F13" w14:textId="77777777" w:rsidTr="00632333">
              <w:tc>
                <w:tcPr>
                  <w:tcW w:w="1129" w:type="dxa"/>
                  <w:tcBorders>
                    <w:top w:val="single" w:sz="4" w:space="0" w:color="auto"/>
                    <w:left w:val="single" w:sz="4" w:space="0" w:color="auto"/>
                    <w:bottom w:val="single" w:sz="4" w:space="0" w:color="auto"/>
                    <w:right w:val="single" w:sz="4" w:space="0" w:color="auto"/>
                  </w:tcBorders>
                  <w:hideMark/>
                </w:tcPr>
                <w:p w14:paraId="3222B72C" w14:textId="77777777" w:rsidR="00A578F7" w:rsidRPr="00853E7E" w:rsidRDefault="00A578F7" w:rsidP="00A578F7">
                  <w:pPr>
                    <w:jc w:val="both"/>
                    <w:rPr>
                      <w:rFonts w:ascii="Times New Roman" w:eastAsia="Times New Roman" w:hAnsi="Times New Roman" w:cs="Times New Roman"/>
                      <w:sz w:val="18"/>
                      <w:szCs w:val="18"/>
                      <w:lang w:val="et-EE" w:eastAsia="et-EE"/>
                    </w:rPr>
                  </w:pPr>
                  <w:r w:rsidRPr="00853E7E">
                    <w:rPr>
                      <w:rFonts w:ascii="Times New Roman" w:eastAsia="Times New Roman" w:hAnsi="Times New Roman" w:cs="Times New Roman"/>
                      <w:sz w:val="18"/>
                      <w:szCs w:val="18"/>
                      <w:lang w:val="et-EE" w:eastAsia="et-EE"/>
                    </w:rPr>
                    <w:t xml:space="preserve">Eraldis </w:t>
                  </w:r>
                  <w:r w:rsidRPr="00853E7E">
                    <w:rPr>
                      <w:rFonts w:ascii="Times New Roman" w:eastAsia="Times New Roman" w:hAnsi="Times New Roman" w:cs="Times New Roman"/>
                      <w:sz w:val="18"/>
                      <w:szCs w:val="18"/>
                      <w:lang w:val="et-EE" w:eastAsia="et-EE"/>
                    </w:rPr>
                    <w:lastRenderedPageBreak/>
                    <w:t>kohalike teede hoiuks toetusfondi kaudu, €</w:t>
                  </w:r>
                </w:p>
              </w:tc>
              <w:tc>
                <w:tcPr>
                  <w:tcW w:w="993" w:type="dxa"/>
                  <w:tcBorders>
                    <w:top w:val="single" w:sz="4" w:space="0" w:color="auto"/>
                    <w:left w:val="single" w:sz="4" w:space="0" w:color="auto"/>
                    <w:bottom w:val="single" w:sz="4" w:space="0" w:color="auto"/>
                    <w:right w:val="single" w:sz="4" w:space="0" w:color="auto"/>
                  </w:tcBorders>
                  <w:hideMark/>
                </w:tcPr>
                <w:p w14:paraId="78D9E481" w14:textId="77777777" w:rsidR="00A578F7" w:rsidRPr="00853E7E" w:rsidRDefault="00A578F7" w:rsidP="00A578F7">
                  <w:pPr>
                    <w:jc w:val="both"/>
                    <w:rPr>
                      <w:rFonts w:ascii="Times New Roman" w:eastAsia="Times New Roman" w:hAnsi="Times New Roman" w:cs="Times New Roman"/>
                      <w:sz w:val="16"/>
                      <w:szCs w:val="16"/>
                      <w:lang w:val="et-EE" w:eastAsia="et-EE"/>
                    </w:rPr>
                  </w:pPr>
                  <w:r w:rsidRPr="00853E7E">
                    <w:rPr>
                      <w:rFonts w:ascii="Times New Roman" w:eastAsia="Times New Roman" w:hAnsi="Times New Roman" w:cs="Times New Roman"/>
                      <w:sz w:val="16"/>
                      <w:szCs w:val="16"/>
                      <w:lang w:val="et-EE" w:eastAsia="et-EE"/>
                    </w:rPr>
                    <w:lastRenderedPageBreak/>
                    <w:t xml:space="preserve">29 313 000, </w:t>
                  </w:r>
                  <w:r w:rsidRPr="00853E7E">
                    <w:rPr>
                      <w:rFonts w:ascii="Times New Roman" w:eastAsia="Times New Roman" w:hAnsi="Times New Roman" w:cs="Times New Roman"/>
                      <w:sz w:val="16"/>
                      <w:szCs w:val="16"/>
                      <w:lang w:val="et-EE" w:eastAsia="et-EE"/>
                    </w:rPr>
                    <w:lastRenderedPageBreak/>
                    <w:t xml:space="preserve">sh Tallinn </w:t>
                  </w:r>
                </w:p>
                <w:p w14:paraId="5A201AAE" w14:textId="77777777" w:rsidR="00A578F7" w:rsidRPr="00853E7E" w:rsidRDefault="00A578F7" w:rsidP="00A578F7">
                  <w:pPr>
                    <w:autoSpaceDE w:val="0"/>
                    <w:autoSpaceDN w:val="0"/>
                    <w:adjustRightInd w:val="0"/>
                    <w:rPr>
                      <w:rFonts w:ascii="Times New Roman" w:hAnsi="Times New Roman" w:cs="Times New Roman"/>
                      <w:color w:val="000000"/>
                      <w:sz w:val="16"/>
                      <w:szCs w:val="16"/>
                      <w:lang w:val="et-EE"/>
                    </w:rPr>
                  </w:pPr>
                  <w:r w:rsidRPr="00853E7E">
                    <w:rPr>
                      <w:rFonts w:ascii="Times New Roman" w:hAnsi="Times New Roman" w:cs="Times New Roman"/>
                      <w:color w:val="000000"/>
                      <w:sz w:val="16"/>
                      <w:szCs w:val="16"/>
                      <w:lang w:val="et-EE"/>
                    </w:rPr>
                    <w:t>3 407 389</w:t>
                  </w:r>
                </w:p>
                <w:p w14:paraId="1CAC5BC1" w14:textId="77777777" w:rsidR="00A578F7" w:rsidRPr="00853E7E" w:rsidRDefault="00A578F7" w:rsidP="00A578F7">
                  <w:pPr>
                    <w:jc w:val="both"/>
                    <w:rPr>
                      <w:rFonts w:ascii="Times New Roman" w:eastAsia="Times New Roman" w:hAnsi="Times New Roman" w:cs="Times New Roman"/>
                      <w:sz w:val="16"/>
                      <w:szCs w:val="16"/>
                      <w:lang w:val="et-EE" w:eastAsia="et-EE"/>
                    </w:rPr>
                  </w:pPr>
                </w:p>
              </w:tc>
              <w:tc>
                <w:tcPr>
                  <w:tcW w:w="992" w:type="dxa"/>
                  <w:tcBorders>
                    <w:top w:val="single" w:sz="4" w:space="0" w:color="auto"/>
                    <w:left w:val="single" w:sz="4" w:space="0" w:color="auto"/>
                    <w:bottom w:val="single" w:sz="4" w:space="0" w:color="auto"/>
                    <w:right w:val="single" w:sz="4" w:space="0" w:color="auto"/>
                  </w:tcBorders>
                  <w:hideMark/>
                </w:tcPr>
                <w:p w14:paraId="1B48CD16" w14:textId="77777777" w:rsidR="00A578F7" w:rsidRPr="00853E7E" w:rsidRDefault="00A578F7" w:rsidP="00A578F7">
                  <w:pPr>
                    <w:jc w:val="both"/>
                    <w:rPr>
                      <w:rFonts w:ascii="Times New Roman" w:eastAsia="Times New Roman" w:hAnsi="Times New Roman" w:cs="Times New Roman"/>
                      <w:sz w:val="16"/>
                      <w:szCs w:val="16"/>
                      <w:lang w:val="et-EE" w:eastAsia="et-EE"/>
                    </w:rPr>
                  </w:pPr>
                </w:p>
                <w:p w14:paraId="52F093E4" w14:textId="77777777" w:rsidR="00A578F7" w:rsidRPr="00853E7E" w:rsidRDefault="00A578F7" w:rsidP="00A578F7">
                  <w:pPr>
                    <w:jc w:val="both"/>
                    <w:rPr>
                      <w:rFonts w:ascii="Times New Roman" w:eastAsia="Times New Roman" w:hAnsi="Times New Roman" w:cs="Times New Roman"/>
                      <w:sz w:val="16"/>
                      <w:szCs w:val="16"/>
                      <w:lang w:val="et-EE" w:eastAsia="et-EE"/>
                    </w:rPr>
                  </w:pPr>
                  <w:r w:rsidRPr="00853E7E">
                    <w:rPr>
                      <w:rFonts w:ascii="Times New Roman" w:eastAsia="Times New Roman" w:hAnsi="Times New Roman" w:cs="Times New Roman"/>
                      <w:sz w:val="16"/>
                      <w:szCs w:val="16"/>
                      <w:lang w:val="et-EE" w:eastAsia="et-EE"/>
                    </w:rPr>
                    <w:lastRenderedPageBreak/>
                    <w:t>43 498 400</w:t>
                  </w:r>
                </w:p>
              </w:tc>
              <w:tc>
                <w:tcPr>
                  <w:tcW w:w="992" w:type="dxa"/>
                  <w:tcBorders>
                    <w:top w:val="single" w:sz="4" w:space="0" w:color="auto"/>
                    <w:left w:val="single" w:sz="4" w:space="0" w:color="auto"/>
                    <w:bottom w:val="single" w:sz="4" w:space="0" w:color="auto"/>
                    <w:right w:val="single" w:sz="4" w:space="0" w:color="auto"/>
                  </w:tcBorders>
                  <w:hideMark/>
                </w:tcPr>
                <w:p w14:paraId="726675EE" w14:textId="77777777" w:rsidR="00A578F7" w:rsidRPr="00853E7E" w:rsidRDefault="00A578F7" w:rsidP="00A578F7">
                  <w:pPr>
                    <w:jc w:val="both"/>
                    <w:rPr>
                      <w:rFonts w:ascii="Times New Roman" w:eastAsia="Times New Roman" w:hAnsi="Times New Roman" w:cs="Times New Roman"/>
                      <w:sz w:val="16"/>
                      <w:szCs w:val="16"/>
                      <w:lang w:val="et-EE" w:eastAsia="et-EE"/>
                    </w:rPr>
                  </w:pPr>
                  <w:r w:rsidRPr="00853E7E">
                    <w:rPr>
                      <w:rFonts w:ascii="Times New Roman" w:eastAsia="Times New Roman" w:hAnsi="Times New Roman" w:cs="Times New Roman"/>
                      <w:sz w:val="16"/>
                      <w:szCs w:val="16"/>
                      <w:lang w:val="et-EE" w:eastAsia="et-EE"/>
                    </w:rPr>
                    <w:lastRenderedPageBreak/>
                    <w:t>45 494 900</w:t>
                  </w:r>
                </w:p>
              </w:tc>
            </w:tr>
            <w:tr w:rsidR="00A578F7" w:rsidRPr="00853E7E" w14:paraId="046DFC42" w14:textId="77777777" w:rsidTr="00632333">
              <w:tc>
                <w:tcPr>
                  <w:tcW w:w="1129" w:type="dxa"/>
                  <w:tcBorders>
                    <w:top w:val="single" w:sz="4" w:space="0" w:color="auto"/>
                    <w:left w:val="single" w:sz="4" w:space="0" w:color="auto"/>
                    <w:bottom w:val="single" w:sz="4" w:space="0" w:color="auto"/>
                    <w:right w:val="single" w:sz="4" w:space="0" w:color="auto"/>
                  </w:tcBorders>
                </w:tcPr>
                <w:p w14:paraId="7500003A" w14:textId="77777777" w:rsidR="00A578F7" w:rsidRPr="00853E7E" w:rsidRDefault="00A578F7" w:rsidP="00A578F7">
                  <w:pPr>
                    <w:jc w:val="both"/>
                    <w:rPr>
                      <w:rFonts w:ascii="Times New Roman" w:eastAsia="Times New Roman" w:hAnsi="Times New Roman" w:cs="Times New Roman"/>
                      <w:sz w:val="18"/>
                      <w:szCs w:val="18"/>
                      <w:lang w:val="et-EE" w:eastAsia="et-EE"/>
                    </w:rPr>
                  </w:pPr>
                  <w:r w:rsidRPr="00853E7E">
                    <w:rPr>
                      <w:rFonts w:ascii="Times New Roman" w:eastAsia="Times New Roman" w:hAnsi="Times New Roman" w:cs="Times New Roman"/>
                      <w:sz w:val="18"/>
                      <w:szCs w:val="18"/>
                      <w:lang w:val="et-EE" w:eastAsia="et-EE"/>
                    </w:rPr>
                    <w:t>Juhtumipõhine toetus, €</w:t>
                  </w:r>
                </w:p>
              </w:tc>
              <w:tc>
                <w:tcPr>
                  <w:tcW w:w="993" w:type="dxa"/>
                  <w:tcBorders>
                    <w:top w:val="single" w:sz="4" w:space="0" w:color="auto"/>
                    <w:left w:val="single" w:sz="4" w:space="0" w:color="auto"/>
                    <w:bottom w:val="single" w:sz="4" w:space="0" w:color="auto"/>
                    <w:right w:val="single" w:sz="4" w:space="0" w:color="auto"/>
                  </w:tcBorders>
                </w:tcPr>
                <w:p w14:paraId="1C15B998" w14:textId="77777777" w:rsidR="00A578F7" w:rsidRPr="00853E7E" w:rsidRDefault="00A578F7" w:rsidP="00A578F7">
                  <w:pPr>
                    <w:jc w:val="both"/>
                    <w:rPr>
                      <w:rFonts w:ascii="Times New Roman" w:eastAsia="Times New Roman" w:hAnsi="Times New Roman" w:cs="Times New Roman"/>
                      <w:sz w:val="16"/>
                      <w:szCs w:val="16"/>
                      <w:lang w:val="et-EE" w:eastAsia="et-EE"/>
                    </w:rPr>
                  </w:pPr>
                  <w:r w:rsidRPr="00853E7E">
                    <w:rPr>
                      <w:rFonts w:ascii="Times New Roman" w:eastAsia="Times New Roman" w:hAnsi="Times New Roman" w:cs="Times New Roman"/>
                      <w:sz w:val="16"/>
                      <w:szCs w:val="16"/>
                      <w:lang w:val="et-EE" w:eastAsia="et-EE"/>
                    </w:rPr>
                    <w:t>6 000 000</w:t>
                  </w:r>
                </w:p>
              </w:tc>
              <w:tc>
                <w:tcPr>
                  <w:tcW w:w="992" w:type="dxa"/>
                  <w:tcBorders>
                    <w:top w:val="single" w:sz="4" w:space="0" w:color="auto"/>
                    <w:left w:val="single" w:sz="4" w:space="0" w:color="auto"/>
                    <w:bottom w:val="single" w:sz="4" w:space="0" w:color="auto"/>
                    <w:right w:val="single" w:sz="4" w:space="0" w:color="auto"/>
                  </w:tcBorders>
                </w:tcPr>
                <w:p w14:paraId="087DADE6" w14:textId="77777777" w:rsidR="00A578F7" w:rsidRPr="00853E7E" w:rsidRDefault="00A578F7" w:rsidP="00A578F7">
                  <w:pPr>
                    <w:jc w:val="both"/>
                    <w:rPr>
                      <w:rFonts w:ascii="Times New Roman" w:eastAsia="Times New Roman" w:hAnsi="Times New Roman" w:cs="Times New Roman"/>
                      <w:sz w:val="16"/>
                      <w:szCs w:val="16"/>
                      <w:lang w:val="et-EE" w:eastAsia="et-EE"/>
                    </w:rPr>
                  </w:pPr>
                  <w:r w:rsidRPr="00853E7E">
                    <w:rPr>
                      <w:rFonts w:ascii="Times New Roman" w:eastAsia="Times New Roman" w:hAnsi="Times New Roman" w:cs="Times New Roman"/>
                      <w:sz w:val="16"/>
                      <w:szCs w:val="16"/>
                      <w:lang w:val="et-EE" w:eastAsia="et-EE"/>
                    </w:rPr>
                    <w:t>10 000 000</w:t>
                  </w:r>
                </w:p>
              </w:tc>
              <w:tc>
                <w:tcPr>
                  <w:tcW w:w="992" w:type="dxa"/>
                  <w:tcBorders>
                    <w:top w:val="single" w:sz="4" w:space="0" w:color="auto"/>
                    <w:left w:val="single" w:sz="4" w:space="0" w:color="auto"/>
                    <w:bottom w:val="single" w:sz="4" w:space="0" w:color="auto"/>
                    <w:right w:val="single" w:sz="4" w:space="0" w:color="auto"/>
                  </w:tcBorders>
                </w:tcPr>
                <w:p w14:paraId="58851470" w14:textId="77777777" w:rsidR="00A578F7" w:rsidRPr="00853E7E" w:rsidRDefault="00A578F7" w:rsidP="00A578F7">
                  <w:pPr>
                    <w:jc w:val="both"/>
                    <w:rPr>
                      <w:rFonts w:ascii="Times New Roman" w:eastAsia="Times New Roman" w:hAnsi="Times New Roman" w:cs="Times New Roman"/>
                      <w:sz w:val="16"/>
                      <w:szCs w:val="16"/>
                      <w:lang w:val="et-EE" w:eastAsia="et-EE"/>
                    </w:rPr>
                  </w:pPr>
                  <w:r w:rsidRPr="00853E7E">
                    <w:rPr>
                      <w:rFonts w:ascii="Times New Roman" w:eastAsia="Times New Roman" w:hAnsi="Times New Roman" w:cs="Times New Roman"/>
                      <w:sz w:val="16"/>
                      <w:szCs w:val="16"/>
                      <w:lang w:val="et-EE" w:eastAsia="et-EE"/>
                    </w:rPr>
                    <w:t>10 000 000</w:t>
                  </w:r>
                </w:p>
              </w:tc>
            </w:tr>
          </w:tbl>
          <w:p w14:paraId="5ECA5843" w14:textId="77777777" w:rsidR="00A578F7" w:rsidRPr="00EB0195" w:rsidRDefault="00A578F7" w:rsidP="00A578F7">
            <w:pPr>
              <w:rPr>
                <w:lang w:val="et-EE"/>
              </w:rPr>
            </w:pPr>
          </w:p>
        </w:tc>
        <w:tc>
          <w:tcPr>
            <w:tcW w:w="5447" w:type="dxa"/>
            <w:shd w:val="clear" w:color="auto" w:fill="auto"/>
            <w:vAlign w:val="center"/>
          </w:tcPr>
          <w:p w14:paraId="7C340654" w14:textId="77777777" w:rsidR="00A578F7" w:rsidRPr="008143E9" w:rsidRDefault="00A578F7" w:rsidP="00A578F7">
            <w:pPr>
              <w:rPr>
                <w:lang w:val="et-EE"/>
              </w:rPr>
            </w:pPr>
            <w:r w:rsidRPr="008143E9">
              <w:rPr>
                <w:lang w:val="et-EE"/>
              </w:rPr>
              <w:lastRenderedPageBreak/>
              <w:t>Kohalikud teed moodustavad Eesti teedest 40,6 protsenti. Kriisieelsel 2008. aastal eraldati kohalike teede hoiuks riigieelarvest 40 456 074 €, mida järgnevatel aastatel vähendati oluliselt. Omavalitsusliitude koostöökogu, sh Tallinna linn Eesti Linnade Liidu liikmena, taotleb teehoiuks eraldatavate vahendite 2008. aasta taseme taastamist ja selle edasist suurendamist proportsionaalselt riigiteedele teehoiukavas kavandatud mahtude kasvule.</w:t>
            </w:r>
          </w:p>
          <w:p w14:paraId="72E3CAEF" w14:textId="77777777" w:rsidR="00A578F7" w:rsidRPr="008143E9" w:rsidRDefault="00A578F7" w:rsidP="00A578F7">
            <w:pPr>
              <w:rPr>
                <w:lang w:val="et-EE"/>
              </w:rPr>
            </w:pPr>
            <w:r w:rsidRPr="008143E9">
              <w:rPr>
                <w:lang w:val="et-EE"/>
              </w:rPr>
              <w:t>Riigi eelarvestrateegias 2019–2022 (RES) on 2020. aastaks kavandatud avalikult kasutatavate kohalike teede hoiuks 2</w:t>
            </w:r>
            <w:bookmarkStart w:id="1" w:name="_GoBack"/>
            <w:bookmarkEnd w:id="1"/>
            <w:r w:rsidRPr="008143E9">
              <w:rPr>
                <w:lang w:val="et-EE"/>
              </w:rPr>
              <w:t xml:space="preserve">9 313 000 €, kuigi VV </w:t>
            </w:r>
            <w:r w:rsidRPr="008143E9">
              <w:rPr>
                <w:lang w:val="et-EE"/>
              </w:rPr>
              <w:lastRenderedPageBreak/>
              <w:t>tegevusprogrammi kohaselt tuleb suurendada kohalike teede hoiuks eraldavate vahendite mahtu. Ühtlasi ei näe RES ette juhtumipõhise toetuse eraldamist alates 2020.aastast.</w:t>
            </w:r>
          </w:p>
          <w:p w14:paraId="27ED2DEF" w14:textId="77777777" w:rsidR="00A578F7" w:rsidRPr="008143E9" w:rsidRDefault="00A578F7" w:rsidP="00A578F7">
            <w:pPr>
              <w:rPr>
                <w:lang w:val="et-EE"/>
              </w:rPr>
            </w:pPr>
            <w:r w:rsidRPr="008143E9">
              <w:rPr>
                <w:lang w:val="et-EE"/>
              </w:rPr>
              <w:t xml:space="preserve">Arvestades Tallinna linna territooriumil kavandatavate suuremahuliste tee-ehitustöödega, nagu Lennujaama laiendus, Rail Baltic ja bussiterminali ehitus, Tallinna väike ringtee (Delta ühendustee), Peterburi mnt rekonstrueerimine, suurenevad oluliselt Tallinna linna läbivad liiklusvood, mille tagajärjel on vajadus suurendada teehoiukulusid teede seisundi tagamiseks. </w:t>
            </w:r>
          </w:p>
          <w:p w14:paraId="5107EE15" w14:textId="77777777" w:rsidR="00A578F7" w:rsidRPr="008143E9" w:rsidRDefault="00A578F7" w:rsidP="00A578F7">
            <w:pPr>
              <w:rPr>
                <w:lang w:val="et-EE"/>
              </w:rPr>
            </w:pPr>
            <w:r w:rsidRPr="008143E9">
              <w:rPr>
                <w:lang w:val="et-EE"/>
              </w:rPr>
              <w:t xml:space="preserve">Tänavavalgustuse teenuse osutamine on riiklike õigusaktide alusel kohalikele omavalitsustele pandud kohustus, mis on tee seisundinõuete täitmiseks osutatav teenus. </w:t>
            </w:r>
          </w:p>
          <w:p w14:paraId="13A8EA32" w14:textId="384587AD" w:rsidR="00A578F7" w:rsidRPr="00EB0195" w:rsidRDefault="00A578F7" w:rsidP="00A578F7">
            <w:pPr>
              <w:rPr>
                <w:lang w:val="et-EE"/>
              </w:rPr>
            </w:pPr>
            <w:r w:rsidRPr="008143E9">
              <w:rPr>
                <w:lang w:val="et-EE"/>
              </w:rPr>
              <w:t>Majandus- ja taristuministri 14.07.2015 määruse nr 92 „Tee seisundinõuded“ § 6 lg 1 punkt 10 kohaselt peab paigaldatud valgustus pimeda ajal põlema. Tee omanik võib valgustust vähendada või välja lülitada, kui ta on täitnud tingimused ohutuks liiklemiseks. Määrus kehtestab nõuded teede seisundile, hooldusele ja valgustamisele pannes eeltoodud kohustused tee omanikele, ehk omavalitsustele. Teel asuvate rajatiste ja tehnovõrkude seisundinõuete täitmise eest vastutab nende omanik.</w:t>
            </w:r>
          </w:p>
        </w:tc>
      </w:tr>
      <w:tr w:rsidR="00A578F7" w:rsidRPr="006D15DA" w14:paraId="2A7C82F9" w14:textId="77777777" w:rsidTr="00E07628">
        <w:tc>
          <w:tcPr>
            <w:tcW w:w="4078" w:type="dxa"/>
            <w:shd w:val="clear" w:color="auto" w:fill="auto"/>
            <w:vAlign w:val="center"/>
          </w:tcPr>
          <w:p w14:paraId="512A93D9" w14:textId="2DDB7368" w:rsidR="00070E80" w:rsidRDefault="00070E80" w:rsidP="00070E80">
            <w:pPr>
              <w:rPr>
                <w:b/>
                <w:bCs/>
                <w:lang w:val="et-EE"/>
              </w:rPr>
            </w:pPr>
            <w:r w:rsidRPr="001B2ACD">
              <w:rPr>
                <w:b/>
                <w:bCs/>
                <w:lang w:val="et-EE"/>
              </w:rPr>
              <w:lastRenderedPageBreak/>
              <w:t xml:space="preserve">Ettepanek </w:t>
            </w:r>
            <w:r w:rsidR="001B2ACD">
              <w:rPr>
                <w:b/>
                <w:bCs/>
                <w:lang w:val="et-EE"/>
              </w:rPr>
              <w:t>3</w:t>
            </w:r>
          </w:p>
          <w:p w14:paraId="56E715CD" w14:textId="77777777" w:rsidR="0056071E" w:rsidRPr="001B2ACD" w:rsidRDefault="0056071E" w:rsidP="00070E80">
            <w:pPr>
              <w:rPr>
                <w:b/>
                <w:bCs/>
                <w:lang w:val="et-EE"/>
              </w:rPr>
            </w:pPr>
          </w:p>
          <w:p w14:paraId="4EDA3AB3" w14:textId="601E4F82" w:rsidR="00A578F7" w:rsidRPr="00EB0195" w:rsidRDefault="00070E80" w:rsidP="00AB6BB3">
            <w:pPr>
              <w:rPr>
                <w:lang w:val="et-EE"/>
              </w:rPr>
            </w:pPr>
            <w:r w:rsidRPr="00070E80">
              <w:rPr>
                <w:lang w:val="et-EE"/>
              </w:rPr>
              <w:t>Finantseerida riigieelarvest linnu/valdu läbivate riigimaanteede, sh TEN-T võrgustikku kuuluvate põhimaanteede teehoidu</w:t>
            </w:r>
            <w:r w:rsidR="005D4429">
              <w:rPr>
                <w:lang w:val="et-EE"/>
              </w:rPr>
              <w:t xml:space="preserve"> ning</w:t>
            </w:r>
            <w:r w:rsidR="00DF20F0">
              <w:t xml:space="preserve"> </w:t>
            </w:r>
            <w:r w:rsidR="00DF20F0" w:rsidRPr="00DF20F0">
              <w:rPr>
                <w:lang w:val="et-EE"/>
              </w:rPr>
              <w:t>muuta rahastamise põhimõtteid</w:t>
            </w:r>
            <w:r w:rsidR="005D4429">
              <w:rPr>
                <w:lang w:val="et-EE"/>
              </w:rPr>
              <w:t xml:space="preserve"> </w:t>
            </w:r>
          </w:p>
        </w:tc>
        <w:tc>
          <w:tcPr>
            <w:tcW w:w="5447" w:type="dxa"/>
            <w:shd w:val="clear" w:color="auto" w:fill="auto"/>
            <w:vAlign w:val="center"/>
          </w:tcPr>
          <w:p w14:paraId="73E602F2" w14:textId="77777777" w:rsidR="00270203" w:rsidRPr="00270203" w:rsidRDefault="00270203" w:rsidP="00270203">
            <w:pPr>
              <w:rPr>
                <w:lang w:val="et-EE"/>
              </w:rPr>
            </w:pPr>
            <w:r w:rsidRPr="00270203">
              <w:rPr>
                <w:lang w:val="et-EE"/>
              </w:rPr>
              <w:t>Vabariigi Valitsuse tegevusprogramm 2019-2023 sätestab transpordi ja taristu valdkonnas valitsusliidu üheks aluspõhimõtteks punktis 14.1. valmistada ette suuremahulised taristuinvesteeringute projektid, et neid oleks võimalik jätkusuutlikult teostada sõltumata majanduskonjunktuurist. Tegevuse elluviimiseks on MKM-</w:t>
            </w:r>
            <w:proofErr w:type="spellStart"/>
            <w:r w:rsidRPr="00270203">
              <w:rPr>
                <w:lang w:val="et-EE"/>
              </w:rPr>
              <w:t>ile</w:t>
            </w:r>
            <w:proofErr w:type="spellEnd"/>
            <w:r w:rsidRPr="00270203">
              <w:rPr>
                <w:lang w:val="et-EE"/>
              </w:rPr>
              <w:t xml:space="preserve"> tehtud ülesandeks koostada riigiteede teehoiukava 2021–2030. Koostöös MKM-iga tuleb teehoiukavasse lülitada pealinna ja teisi suuri linnu läbivad olemuslikult riigitee tunnustega teed ja tänavad. </w:t>
            </w:r>
          </w:p>
          <w:p w14:paraId="5A0BF26D" w14:textId="77777777" w:rsidR="00270203" w:rsidRPr="00270203" w:rsidRDefault="00270203" w:rsidP="00270203">
            <w:pPr>
              <w:rPr>
                <w:lang w:val="et-EE"/>
              </w:rPr>
            </w:pPr>
          </w:p>
          <w:p w14:paraId="17602AD3" w14:textId="77777777" w:rsidR="00270203" w:rsidRPr="00270203" w:rsidRDefault="00270203" w:rsidP="00270203">
            <w:pPr>
              <w:rPr>
                <w:lang w:val="et-EE"/>
              </w:rPr>
            </w:pPr>
            <w:r w:rsidRPr="00270203">
              <w:rPr>
                <w:lang w:val="et-EE"/>
              </w:rPr>
              <w:t>Tallinna linna läbivad olemuslikult riigi tähtsusega ja TEN-T võrgustikku kuuluvad riigiteed, mistõttu peaksid need kuuluma majandus- ja taristuministri 25.06.2015 määrusega nr 72 „Riigiteede liigid ja riigiteede nimekiri“ kinnitatud riigiteede nimekirja riigiteedena, mitte linnade, alevite või alevike piirides olevate riigiteede lõikudena, mis on ehitusseadustiku mõistes tänavad.</w:t>
            </w:r>
          </w:p>
          <w:p w14:paraId="5F57915B" w14:textId="77777777" w:rsidR="00270203" w:rsidRPr="00270203" w:rsidRDefault="00270203" w:rsidP="00270203">
            <w:pPr>
              <w:rPr>
                <w:lang w:val="et-EE"/>
              </w:rPr>
            </w:pPr>
            <w:r w:rsidRPr="00270203">
              <w:rPr>
                <w:lang w:val="et-EE"/>
              </w:rPr>
              <w:t xml:space="preserve">Kuigi kehtiva õigusakti „Riigiteede liigid ja riigiteede nimekiri“ kohaselt on põhimaantee ülesanne ühendada pealinna ja teisi suuri linnu tähtsate sadamate, raudteesõlmede ja piiripunktidega, siis riigiteede nimekirja kantud põhimaantee algus või lõpp-punkt on määratud KOV haldusterritooriumi piiriga. See </w:t>
            </w:r>
            <w:r w:rsidRPr="00270203">
              <w:rPr>
                <w:lang w:val="et-EE"/>
              </w:rPr>
              <w:lastRenderedPageBreak/>
              <w:t xml:space="preserve">tähendab et KOV piiridesse jääva riigimaantee tunnustele vastava tee korrashoiu kohustus jääb KOV kanda, kuigi see peaks olema riigi ülesanne. </w:t>
            </w:r>
          </w:p>
          <w:p w14:paraId="3D702C72" w14:textId="77777777" w:rsidR="00270203" w:rsidRPr="00270203" w:rsidRDefault="00270203" w:rsidP="00270203">
            <w:pPr>
              <w:rPr>
                <w:lang w:val="et-EE"/>
              </w:rPr>
            </w:pPr>
            <w:r w:rsidRPr="00270203">
              <w:rPr>
                <w:lang w:val="et-EE"/>
              </w:rPr>
              <w:t>Olemuslikult riigiteedena olevatena ja riigile strateegiliselt tähtsate transpordiobjektide ühendusteedena (ligi 1,77 mln m2 (106,163 km)), tuleb nende korrashoidu finantseerida riigieelarvest summas 52,5 mln €/aastas, mis on arvestatud Tallinna tänavate PMS analüüsi 2015. hindade alusel nõutava seisunditaseme saavutamiseks vajalik teehoiu kulu aastas.</w:t>
            </w:r>
          </w:p>
          <w:p w14:paraId="1365E9D5" w14:textId="77777777" w:rsidR="00270203" w:rsidRPr="00270203" w:rsidRDefault="00270203" w:rsidP="00270203">
            <w:pPr>
              <w:rPr>
                <w:lang w:val="et-EE"/>
              </w:rPr>
            </w:pPr>
            <w:r w:rsidRPr="00270203">
              <w:rPr>
                <w:lang w:val="et-EE"/>
              </w:rPr>
              <w:t xml:space="preserve">Liiklusseaduse §-s 11 on muu hulgas reguleeritud riigitee ehitamise raames ka riigile mittekuuluva tee osaline ehitamine, millest lähtuvalt on lubatud teehoiukavas oleva riigitee ehitamise raames riigile mittekuuluva tee osaline ehitamine, kui see on vajalik </w:t>
            </w:r>
            <w:proofErr w:type="spellStart"/>
            <w:r w:rsidRPr="00270203">
              <w:rPr>
                <w:lang w:val="et-EE"/>
              </w:rPr>
              <w:t>teedevõrgu</w:t>
            </w:r>
            <w:proofErr w:type="spellEnd"/>
            <w:r w:rsidRPr="00270203">
              <w:rPr>
                <w:lang w:val="et-EE"/>
              </w:rPr>
              <w:t xml:space="preserve"> terviklikkuse tagamisest avalikes huvides. </w:t>
            </w:r>
          </w:p>
          <w:p w14:paraId="47C850BE" w14:textId="77777777" w:rsidR="00270203" w:rsidRPr="00270203" w:rsidRDefault="00270203" w:rsidP="00270203">
            <w:pPr>
              <w:rPr>
                <w:lang w:val="et-EE"/>
              </w:rPr>
            </w:pPr>
            <w:r w:rsidRPr="00270203">
              <w:rPr>
                <w:lang w:val="et-EE"/>
              </w:rPr>
              <w:t xml:space="preserve">Sellest lähtuvalt on ettepanek </w:t>
            </w:r>
            <w:proofErr w:type="spellStart"/>
            <w:r w:rsidRPr="00270203">
              <w:rPr>
                <w:lang w:val="et-EE"/>
              </w:rPr>
              <w:t>teedevõrgu</w:t>
            </w:r>
            <w:proofErr w:type="spellEnd"/>
            <w:r w:rsidRPr="00270203">
              <w:rPr>
                <w:lang w:val="et-EE"/>
              </w:rPr>
              <w:t xml:space="preserve"> arendamisel alustada läbirääkimisi kohalike omavalitsustega, et leppida kokku ja seadustada linnu/valdu läbivate teede omandivorm ja teehoiu rahastamine. See võimaldab koostöös Maanteeametiga alustada alljärgnevate olemuslikult riigiteede, sh. TEN-T võrgustikku kuuluvate maanteede hoiu rahastamisega riigieelarvest:</w:t>
            </w:r>
          </w:p>
          <w:p w14:paraId="6ACE63FC" w14:textId="77777777" w:rsidR="00270203" w:rsidRPr="00270203" w:rsidRDefault="00270203" w:rsidP="00270203">
            <w:pPr>
              <w:rPr>
                <w:lang w:val="et-EE"/>
              </w:rPr>
            </w:pPr>
            <w:r w:rsidRPr="00270203">
              <w:rPr>
                <w:lang w:val="et-EE"/>
              </w:rPr>
              <w:t>- Vabaduse pst Männiku tee ristmikust kuni linna piirini Pääsküla jõe sillal;</w:t>
            </w:r>
          </w:p>
          <w:p w14:paraId="0ADEA805" w14:textId="77777777" w:rsidR="00270203" w:rsidRPr="00270203" w:rsidRDefault="00270203" w:rsidP="00270203">
            <w:pPr>
              <w:rPr>
                <w:lang w:val="et-EE"/>
              </w:rPr>
            </w:pPr>
            <w:r w:rsidRPr="00270203">
              <w:rPr>
                <w:lang w:val="et-EE"/>
              </w:rPr>
              <w:t>- Peterburi tee Väo ristmikust kuni Tartu mnt (või Smuuli teeni);</w:t>
            </w:r>
          </w:p>
          <w:p w14:paraId="1AE089D5" w14:textId="77777777" w:rsidR="00270203" w:rsidRPr="00270203" w:rsidRDefault="00270203" w:rsidP="00270203">
            <w:pPr>
              <w:rPr>
                <w:lang w:val="et-EE"/>
              </w:rPr>
            </w:pPr>
            <w:r w:rsidRPr="00270203">
              <w:rPr>
                <w:lang w:val="et-EE"/>
              </w:rPr>
              <w:t>- Rannamõisa tee Lõuka ristmikust kuni linna piirini Tiskre oja truubil;</w:t>
            </w:r>
          </w:p>
          <w:p w14:paraId="331464D4" w14:textId="77777777" w:rsidR="00270203" w:rsidRPr="00270203" w:rsidRDefault="00270203" w:rsidP="00270203">
            <w:pPr>
              <w:rPr>
                <w:lang w:val="et-EE"/>
              </w:rPr>
            </w:pPr>
            <w:r w:rsidRPr="00270203">
              <w:rPr>
                <w:lang w:val="et-EE"/>
              </w:rPr>
              <w:t>- Paldiski mnt Haabersti ristmikust kuni linna piirini Tähetorni ristmikul.</w:t>
            </w:r>
          </w:p>
          <w:p w14:paraId="306CF88D" w14:textId="6D82482C" w:rsidR="00270203" w:rsidRDefault="00270203" w:rsidP="00270203">
            <w:pPr>
              <w:rPr>
                <w:lang w:val="et-EE"/>
              </w:rPr>
            </w:pPr>
            <w:r w:rsidRPr="00270203">
              <w:rPr>
                <w:lang w:val="et-EE"/>
              </w:rPr>
              <w:t>Tallinna linn on seisukohal, et pealinna suubuvate riiklikult tähtsate põhimaanteede, mis viivad rahvusvahelise lennujaama, sadama ja/või ühistransporditerminalini, riigiteede nimekirja kandmine (st kuni sihtkohani) ning teehoiu korraldamise kokkuleppimine peab toimuma riigi ja omavalitsuste vahel, andmata riigiteede nimekirja kantud teid riigi bilanssi.</w:t>
            </w:r>
          </w:p>
          <w:p w14:paraId="0AFCB728" w14:textId="5EE52F41" w:rsidR="006F47EF" w:rsidRPr="00270203" w:rsidRDefault="006F47EF" w:rsidP="00270203">
            <w:pPr>
              <w:rPr>
                <w:lang w:val="et-EE"/>
              </w:rPr>
            </w:pPr>
            <w:r w:rsidRPr="006F47EF">
              <w:rPr>
                <w:lang w:val="et-EE"/>
              </w:rPr>
              <w:t xml:space="preserve">Kuna projekti hindamisel ei võeta arvesse sademevee, tänavavalgustuse, kergliiklustee jm. rajamist, mis on vältimatu, tuleks </w:t>
            </w:r>
            <w:r w:rsidRPr="003F2BBB">
              <w:rPr>
                <w:u w:val="single"/>
                <w:lang w:val="et-EE"/>
              </w:rPr>
              <w:t>üle vaadata TEN-T teede võrgustikku kuuluvate teede rahastamise põhimõtted</w:t>
            </w:r>
            <w:r w:rsidRPr="006F47EF">
              <w:rPr>
                <w:lang w:val="et-EE"/>
              </w:rPr>
              <w:t xml:space="preserve">, et toetust oleks võimalik saada ka Tallinnal ja tema lähiümbruse valdadel, kes rekonstrueerivad </w:t>
            </w:r>
            <w:r w:rsidR="00921A49">
              <w:rPr>
                <w:lang w:val="et-EE"/>
              </w:rPr>
              <w:t>T</w:t>
            </w:r>
            <w:r w:rsidR="00B016A8">
              <w:rPr>
                <w:lang w:val="et-EE"/>
              </w:rPr>
              <w:t xml:space="preserve">EN-T </w:t>
            </w:r>
            <w:r w:rsidRPr="006F47EF">
              <w:rPr>
                <w:lang w:val="et-EE"/>
              </w:rPr>
              <w:t>teid linnatänavate põhimõttel</w:t>
            </w:r>
            <w:r w:rsidR="00B016A8">
              <w:rPr>
                <w:lang w:val="et-EE"/>
              </w:rPr>
              <w:t>.</w:t>
            </w:r>
          </w:p>
          <w:p w14:paraId="250ACD8E" w14:textId="77777777" w:rsidR="00A578F7" w:rsidRPr="00EB0195" w:rsidRDefault="00A578F7" w:rsidP="00A578F7">
            <w:pPr>
              <w:rPr>
                <w:lang w:val="et-EE"/>
              </w:rPr>
            </w:pPr>
          </w:p>
        </w:tc>
      </w:tr>
      <w:tr w:rsidR="00A578F7" w:rsidRPr="006D15DA" w14:paraId="40857CDA" w14:textId="77777777" w:rsidTr="00E07628">
        <w:tc>
          <w:tcPr>
            <w:tcW w:w="4078" w:type="dxa"/>
            <w:shd w:val="clear" w:color="auto" w:fill="auto"/>
            <w:vAlign w:val="center"/>
          </w:tcPr>
          <w:p w14:paraId="51131399" w14:textId="77777777" w:rsidR="00367F70" w:rsidRDefault="00367F70" w:rsidP="001C6924">
            <w:pPr>
              <w:rPr>
                <w:b/>
                <w:bCs/>
                <w:lang w:val="et-EE"/>
              </w:rPr>
            </w:pPr>
          </w:p>
          <w:p w14:paraId="26848CF1" w14:textId="77777777" w:rsidR="00D562F9" w:rsidRDefault="00D562F9" w:rsidP="001C6924">
            <w:pPr>
              <w:rPr>
                <w:b/>
                <w:bCs/>
                <w:lang w:val="et-EE"/>
              </w:rPr>
            </w:pPr>
          </w:p>
          <w:p w14:paraId="4937CBF7" w14:textId="77777777" w:rsidR="00D562F9" w:rsidRDefault="00D562F9" w:rsidP="001C6924">
            <w:pPr>
              <w:rPr>
                <w:b/>
                <w:bCs/>
                <w:lang w:val="et-EE"/>
              </w:rPr>
            </w:pPr>
          </w:p>
          <w:p w14:paraId="36B6823A" w14:textId="77777777" w:rsidR="00C60E49" w:rsidRDefault="00C60E49" w:rsidP="001C6924">
            <w:pPr>
              <w:rPr>
                <w:b/>
                <w:bCs/>
                <w:lang w:val="et-EE"/>
              </w:rPr>
            </w:pPr>
          </w:p>
          <w:p w14:paraId="56B0A5B6" w14:textId="77777777" w:rsidR="00C60E49" w:rsidRDefault="00C60E49" w:rsidP="001C6924">
            <w:pPr>
              <w:rPr>
                <w:b/>
                <w:bCs/>
                <w:lang w:val="et-EE"/>
              </w:rPr>
            </w:pPr>
          </w:p>
          <w:p w14:paraId="52964C39" w14:textId="12AECB0E" w:rsidR="0031479C" w:rsidRDefault="0031479C" w:rsidP="001C6924">
            <w:pPr>
              <w:rPr>
                <w:b/>
                <w:bCs/>
                <w:lang w:val="et-EE"/>
              </w:rPr>
            </w:pPr>
            <w:r w:rsidRPr="001B2ACD">
              <w:rPr>
                <w:b/>
                <w:bCs/>
                <w:lang w:val="et-EE"/>
              </w:rPr>
              <w:t xml:space="preserve">Ettepanek </w:t>
            </w:r>
            <w:r w:rsidR="001B2ACD">
              <w:rPr>
                <w:b/>
                <w:bCs/>
                <w:lang w:val="et-EE"/>
              </w:rPr>
              <w:t>4</w:t>
            </w:r>
          </w:p>
          <w:p w14:paraId="73D9A69A" w14:textId="77777777" w:rsidR="0056071E" w:rsidRPr="001B2ACD" w:rsidRDefault="0056071E" w:rsidP="001C6924">
            <w:pPr>
              <w:rPr>
                <w:b/>
                <w:bCs/>
                <w:lang w:val="et-EE"/>
              </w:rPr>
            </w:pPr>
          </w:p>
          <w:p w14:paraId="6AF71539" w14:textId="03E2506C" w:rsidR="0031479C" w:rsidRPr="0031479C" w:rsidRDefault="0031479C" w:rsidP="001C6924">
            <w:pPr>
              <w:rPr>
                <w:lang w:val="et-EE"/>
              </w:rPr>
            </w:pPr>
            <w:r w:rsidRPr="0031479C">
              <w:rPr>
                <w:lang w:val="et-EE"/>
              </w:rPr>
              <w:t>Teehoiuks mõeldud vahendite eraldamisel toetusfondi kaudu lähtuda kohalike teede pinna-arvestusele põhinevast registrist ja inventariseerimise käigus saadud liiklussageduse andmetest ning eraldada raha ka muude kohalike teerajatiste hoolduseks.</w:t>
            </w:r>
          </w:p>
          <w:p w14:paraId="2806F267" w14:textId="77777777" w:rsidR="00A578F7" w:rsidRPr="00EB0195" w:rsidRDefault="00A578F7" w:rsidP="001C6924">
            <w:pPr>
              <w:rPr>
                <w:lang w:val="et-EE"/>
              </w:rPr>
            </w:pPr>
          </w:p>
        </w:tc>
        <w:tc>
          <w:tcPr>
            <w:tcW w:w="5447" w:type="dxa"/>
            <w:shd w:val="clear" w:color="auto" w:fill="auto"/>
            <w:vAlign w:val="center"/>
          </w:tcPr>
          <w:p w14:paraId="15325F55" w14:textId="1C33E287" w:rsidR="001C4EA8" w:rsidRPr="001C4EA8" w:rsidRDefault="001C4EA8" w:rsidP="001C6924">
            <w:pPr>
              <w:rPr>
                <w:lang w:val="et-EE"/>
              </w:rPr>
            </w:pPr>
            <w:r w:rsidRPr="001C4EA8">
              <w:rPr>
                <w:lang w:val="et-EE"/>
              </w:rPr>
              <w:lastRenderedPageBreak/>
              <w:t xml:space="preserve">Tänased riigi poolt eraldatud vahendid teehoiu kulude katteks ei kata tegelikku vajadust, mistõttu on </w:t>
            </w:r>
            <w:r w:rsidRPr="001C4EA8">
              <w:rPr>
                <w:lang w:val="et-EE"/>
              </w:rPr>
              <w:lastRenderedPageBreak/>
              <w:t xml:space="preserve">järgnevatel aastatel vajadus tõsta teehoiuks mõeldud vahendeid iga-aastaselt vähemalt 5% kuni teede olemi kohase amortisatsiooni </w:t>
            </w:r>
            <w:proofErr w:type="spellStart"/>
            <w:r w:rsidRPr="001C4EA8">
              <w:rPr>
                <w:lang w:val="et-EE"/>
              </w:rPr>
              <w:t>välba</w:t>
            </w:r>
            <w:proofErr w:type="spellEnd"/>
            <w:r w:rsidRPr="001C4EA8">
              <w:rPr>
                <w:lang w:val="et-EE"/>
              </w:rPr>
              <w:t xml:space="preserve"> saavutamiseni.</w:t>
            </w:r>
          </w:p>
          <w:p w14:paraId="48800EDA" w14:textId="0D861DBA" w:rsidR="001C4EA8" w:rsidRPr="001C4EA8" w:rsidRDefault="001C4EA8" w:rsidP="001C6924">
            <w:pPr>
              <w:rPr>
                <w:lang w:val="et-EE"/>
              </w:rPr>
            </w:pPr>
            <w:r w:rsidRPr="001C4EA8">
              <w:rPr>
                <w:lang w:val="et-EE"/>
              </w:rPr>
              <w:t>Teehoiuks mõeldud vahendite võrdsetel alustel eraldamisel toetusfondi kaudu tuleb lähtuda kohalike teede pinna-arvestusel põhinevatest riikliku registri andmebaasidest.</w:t>
            </w:r>
          </w:p>
          <w:p w14:paraId="27CB9C33" w14:textId="6120D759" w:rsidR="001C4EA8" w:rsidRPr="001C4EA8" w:rsidRDefault="001C4EA8" w:rsidP="001C6924">
            <w:pPr>
              <w:rPr>
                <w:lang w:val="et-EE"/>
              </w:rPr>
            </w:pPr>
            <w:r w:rsidRPr="001C4EA8">
              <w:rPr>
                <w:lang w:val="et-EE"/>
              </w:rPr>
              <w:t>Hetkel kasutusel oleva teehoiu vahendite eraldamise metoodika muutmine saab toimuda kohalike teede inventeerimise tulemusel omavalitsusliidu ettepaneku alusel.</w:t>
            </w:r>
            <w:r w:rsidR="00952273">
              <w:rPr>
                <w:lang w:val="et-EE"/>
              </w:rPr>
              <w:t xml:space="preserve"> </w:t>
            </w:r>
            <w:r w:rsidRPr="001C4EA8">
              <w:rPr>
                <w:lang w:val="et-EE"/>
              </w:rPr>
              <w:t>Maanteeameti poolt korraldatud kohalike teede inventeerimine on lõppenud. Seisuga 22.08.2019 edastatud info kohaselt on loomisel kohalike teede panoraampiltide vaatamise rakendus (</w:t>
            </w:r>
            <w:proofErr w:type="spellStart"/>
            <w:r w:rsidRPr="001C4EA8">
              <w:rPr>
                <w:lang w:val="et-EE"/>
              </w:rPr>
              <w:t>EyeVi</w:t>
            </w:r>
            <w:proofErr w:type="spellEnd"/>
            <w:r w:rsidRPr="001C4EA8">
              <w:rPr>
                <w:lang w:val="et-EE"/>
              </w:rPr>
              <w:t xml:space="preserve">). Teehoiu toetuse jaotuse arvestuse uue metoodika väljatöötamise eelduseks on kohalike teede inventeerimise jätkutegevuste läbiviimine. MKM on teinud </w:t>
            </w:r>
            <w:proofErr w:type="spellStart"/>
            <w:r w:rsidRPr="001C4EA8">
              <w:rPr>
                <w:lang w:val="et-EE"/>
              </w:rPr>
              <w:t>ELVL-ile</w:t>
            </w:r>
            <w:proofErr w:type="spellEnd"/>
            <w:r w:rsidRPr="001C4EA8">
              <w:rPr>
                <w:lang w:val="et-EE"/>
              </w:rPr>
              <w:t xml:space="preserve"> ettepaneku inventeerimise jätkutegevuste (kohalike teede liiklussageduse analüüs,  kohalike teede optimaalse seisukorra määratlemine ning kohalike teede teehoiuks vajaminevate vahendite suuruse analüüs) läbiviimiseks ja rahastamiseks. Inventeerimise jätkutegevuse rahastamiseks on kavas esitada taotlus Riigikantseleile toetuse eraldamiseks Poliitikakujundamise kvaliteedi arendamine meetmest. Kuivõrd toetusfondi osaks olev kohalike teede teehoiu toetus võib tulevikus muutuda kohaliku omavalitsuse üksuste püsiva tulubaasi osaks, soovitab MKM kaasata metoodika muutmisesse ka Rahandusministeeriumi. Teede pinnaarvestusel põhinev arvestus kajastab objektiivsemalt kohalike teede teehoiu vajadusi ning järgib võrdse kohtlemise põhimõtet. Arvestada tuleb ka jalgratta- ja/või jalgteid.</w:t>
            </w:r>
          </w:p>
          <w:p w14:paraId="49340ECB" w14:textId="6D2F2363" w:rsidR="001C4EA8" w:rsidRPr="001C4EA8" w:rsidRDefault="001C4EA8" w:rsidP="001C6924">
            <w:pPr>
              <w:rPr>
                <w:lang w:val="et-EE"/>
              </w:rPr>
            </w:pPr>
            <w:r w:rsidRPr="001C4EA8">
              <w:rPr>
                <w:lang w:val="et-EE"/>
              </w:rPr>
              <w:t xml:space="preserve">Kuna Tallinna linn </w:t>
            </w:r>
            <w:proofErr w:type="spellStart"/>
            <w:r w:rsidRPr="001C4EA8">
              <w:rPr>
                <w:lang w:val="et-EE"/>
              </w:rPr>
              <w:t>ELLi</w:t>
            </w:r>
            <w:proofErr w:type="spellEnd"/>
            <w:r w:rsidRPr="001C4EA8">
              <w:rPr>
                <w:lang w:val="et-EE"/>
              </w:rPr>
              <w:t xml:space="preserve"> liikmena ei ole nõustunud juhtumipõhise toetusega kohalike teede hoiu toetuse arvelt, on majandus- ja taristuministri 19.10.2017 määrusega nr 53 "Kohaliku tee ehitamiseks juhtumipõhise investeeringutoetuse andmise põhimõtted“ sätestatud tingimused täiendavate eelarveliste vahendite arvel. 2019. aasta riigieelarves on eraldatud 6 milj. €.</w:t>
            </w:r>
          </w:p>
          <w:p w14:paraId="2D8E209A" w14:textId="77777777" w:rsidR="00A578F7" w:rsidRPr="00EB0195" w:rsidRDefault="00A578F7" w:rsidP="001C6924">
            <w:pPr>
              <w:rPr>
                <w:lang w:val="et-EE"/>
              </w:rPr>
            </w:pPr>
          </w:p>
        </w:tc>
      </w:tr>
      <w:tr w:rsidR="00A578F7" w:rsidRPr="006D15DA" w14:paraId="70E410E1" w14:textId="77777777" w:rsidTr="00E07628">
        <w:tc>
          <w:tcPr>
            <w:tcW w:w="4078" w:type="dxa"/>
            <w:shd w:val="clear" w:color="auto" w:fill="auto"/>
            <w:vAlign w:val="center"/>
          </w:tcPr>
          <w:p w14:paraId="0F470181" w14:textId="77777777" w:rsidR="00D562F9" w:rsidRDefault="00D562F9" w:rsidP="00112483">
            <w:pPr>
              <w:rPr>
                <w:b/>
                <w:bCs/>
                <w:lang w:val="et-EE"/>
              </w:rPr>
            </w:pPr>
          </w:p>
          <w:p w14:paraId="4646E121" w14:textId="77777777" w:rsidR="00005F32" w:rsidRDefault="00005F32" w:rsidP="00112483">
            <w:pPr>
              <w:rPr>
                <w:b/>
                <w:bCs/>
                <w:lang w:val="et-EE"/>
              </w:rPr>
            </w:pPr>
          </w:p>
          <w:p w14:paraId="3E91A5BB" w14:textId="77777777" w:rsidR="00713EDC" w:rsidRDefault="00713EDC" w:rsidP="00112483">
            <w:pPr>
              <w:rPr>
                <w:b/>
                <w:bCs/>
                <w:lang w:val="et-EE"/>
              </w:rPr>
            </w:pPr>
          </w:p>
          <w:p w14:paraId="4E73D4A4" w14:textId="77777777" w:rsidR="00713EDC" w:rsidRDefault="00713EDC" w:rsidP="00112483">
            <w:pPr>
              <w:rPr>
                <w:b/>
                <w:bCs/>
                <w:lang w:val="et-EE"/>
              </w:rPr>
            </w:pPr>
          </w:p>
          <w:p w14:paraId="4FD45679" w14:textId="77777777" w:rsidR="00713EDC" w:rsidRDefault="00713EDC" w:rsidP="00112483">
            <w:pPr>
              <w:rPr>
                <w:b/>
                <w:bCs/>
                <w:lang w:val="et-EE"/>
              </w:rPr>
            </w:pPr>
          </w:p>
          <w:p w14:paraId="28CA6575" w14:textId="77777777" w:rsidR="00713EDC" w:rsidRDefault="00713EDC" w:rsidP="00112483">
            <w:pPr>
              <w:rPr>
                <w:b/>
                <w:bCs/>
                <w:lang w:val="et-EE"/>
              </w:rPr>
            </w:pPr>
          </w:p>
          <w:p w14:paraId="436108B7" w14:textId="77777777" w:rsidR="00713EDC" w:rsidRDefault="00713EDC" w:rsidP="00112483">
            <w:pPr>
              <w:rPr>
                <w:b/>
                <w:bCs/>
                <w:lang w:val="et-EE"/>
              </w:rPr>
            </w:pPr>
          </w:p>
          <w:p w14:paraId="731969C5" w14:textId="77777777" w:rsidR="00713EDC" w:rsidRDefault="00713EDC" w:rsidP="00112483">
            <w:pPr>
              <w:rPr>
                <w:b/>
                <w:bCs/>
                <w:lang w:val="et-EE"/>
              </w:rPr>
            </w:pPr>
          </w:p>
          <w:p w14:paraId="07CFDF8B" w14:textId="34E6A7ED" w:rsidR="00112483" w:rsidRDefault="00112483" w:rsidP="00112483">
            <w:pPr>
              <w:rPr>
                <w:b/>
                <w:bCs/>
                <w:lang w:val="et-EE"/>
              </w:rPr>
            </w:pPr>
            <w:r w:rsidRPr="001B2ACD">
              <w:rPr>
                <w:b/>
                <w:bCs/>
                <w:lang w:val="et-EE"/>
              </w:rPr>
              <w:lastRenderedPageBreak/>
              <w:t xml:space="preserve">Ettepanek </w:t>
            </w:r>
            <w:r w:rsidR="001B2ACD">
              <w:rPr>
                <w:b/>
                <w:bCs/>
                <w:lang w:val="et-EE"/>
              </w:rPr>
              <w:t>5</w:t>
            </w:r>
          </w:p>
          <w:p w14:paraId="4E4443D5" w14:textId="77777777" w:rsidR="0056071E" w:rsidRPr="001B2ACD" w:rsidRDefault="0056071E" w:rsidP="00112483">
            <w:pPr>
              <w:rPr>
                <w:b/>
                <w:bCs/>
                <w:lang w:val="et-EE"/>
              </w:rPr>
            </w:pPr>
          </w:p>
          <w:p w14:paraId="792D05C7" w14:textId="4CBF9935" w:rsidR="00A578F7" w:rsidRPr="00EB0195" w:rsidRDefault="00112483" w:rsidP="00112483">
            <w:pPr>
              <w:rPr>
                <w:lang w:val="et-EE"/>
              </w:rPr>
            </w:pPr>
            <w:r w:rsidRPr="00112483">
              <w:rPr>
                <w:lang w:val="et-EE"/>
              </w:rPr>
              <w:t>Detailplaneeringute menetluses arendaja kohustusena detailplaneeringualadega seotud avalikult kasutatavate teede- ja tehnovõrkude kaasfinantseerimise tasu määratlemiseks normdokumendi väljatöötamine</w:t>
            </w:r>
          </w:p>
        </w:tc>
        <w:tc>
          <w:tcPr>
            <w:tcW w:w="5447" w:type="dxa"/>
            <w:shd w:val="clear" w:color="auto" w:fill="auto"/>
            <w:vAlign w:val="center"/>
          </w:tcPr>
          <w:p w14:paraId="5A3DD116" w14:textId="77777777" w:rsidR="005B78A0" w:rsidRPr="005B78A0" w:rsidRDefault="005B78A0" w:rsidP="005B78A0">
            <w:pPr>
              <w:rPr>
                <w:lang w:val="et-EE"/>
              </w:rPr>
            </w:pPr>
            <w:r w:rsidRPr="005B78A0">
              <w:rPr>
                <w:lang w:val="et-EE"/>
              </w:rPr>
              <w:lastRenderedPageBreak/>
              <w:t>Planeerimisseaduse § 131 alusel võiks töötada välja ühtsed põhimõtted, kuidas toimub arendustest huvitatud koostöös detailplaneeringukohaste avalikuks kasutuseks määratud teede ja tehnovõrkude ehitamine ning haljastuse rajamine.</w:t>
            </w:r>
          </w:p>
          <w:p w14:paraId="108B2617" w14:textId="1C8FB59E" w:rsidR="005B78A0" w:rsidRPr="005B78A0" w:rsidRDefault="00756010" w:rsidP="005B78A0">
            <w:pPr>
              <w:rPr>
                <w:lang w:val="et-EE"/>
              </w:rPr>
            </w:pPr>
            <w:r>
              <w:rPr>
                <w:lang w:val="et-EE"/>
              </w:rPr>
              <w:t>Meie</w:t>
            </w:r>
            <w:r w:rsidR="00E07628">
              <w:rPr>
                <w:lang w:val="et-EE"/>
              </w:rPr>
              <w:t xml:space="preserve"> </w:t>
            </w:r>
            <w:r w:rsidR="005B78A0" w:rsidRPr="005B78A0">
              <w:rPr>
                <w:lang w:val="et-EE"/>
              </w:rPr>
              <w:t>nägemuse kohaselt on võimalik lahendada detailplaneeringukohaste rajatiste ehitamist neljal viisil:</w:t>
            </w:r>
          </w:p>
          <w:p w14:paraId="454105D0" w14:textId="77777777" w:rsidR="005B78A0" w:rsidRPr="005B78A0" w:rsidRDefault="005B78A0" w:rsidP="005B78A0">
            <w:pPr>
              <w:rPr>
                <w:lang w:val="et-EE"/>
              </w:rPr>
            </w:pPr>
            <w:r w:rsidRPr="005B78A0">
              <w:rPr>
                <w:lang w:val="et-EE"/>
              </w:rPr>
              <w:t>1.</w:t>
            </w:r>
            <w:r w:rsidRPr="005B78A0">
              <w:rPr>
                <w:lang w:val="et-EE"/>
              </w:rPr>
              <w:tab/>
              <w:t xml:space="preserve">Kohalik omavalitsus projekteerib ja ehitab ise </w:t>
            </w:r>
            <w:r w:rsidRPr="005B78A0">
              <w:rPr>
                <w:lang w:val="et-EE"/>
              </w:rPr>
              <w:lastRenderedPageBreak/>
              <w:t>vajaliku infrastruktuuri, kaasamata arendaja finantseerimist;</w:t>
            </w:r>
          </w:p>
          <w:p w14:paraId="6A88E503" w14:textId="77777777" w:rsidR="005B78A0" w:rsidRPr="005B78A0" w:rsidRDefault="005B78A0" w:rsidP="005B78A0">
            <w:pPr>
              <w:rPr>
                <w:lang w:val="et-EE"/>
              </w:rPr>
            </w:pPr>
            <w:r w:rsidRPr="005B78A0">
              <w:rPr>
                <w:lang w:val="et-EE"/>
              </w:rPr>
              <w:t>2.</w:t>
            </w:r>
            <w:r w:rsidRPr="005B78A0">
              <w:rPr>
                <w:lang w:val="et-EE"/>
              </w:rPr>
              <w:tab/>
              <w:t>Kohalik omavalitsus projekteerib ja ehitab vajaliku infrastruktuuri, kaasab arendajad (osalisel) finantseerijana;</w:t>
            </w:r>
          </w:p>
          <w:p w14:paraId="20C685E0" w14:textId="77777777" w:rsidR="005B78A0" w:rsidRPr="005B78A0" w:rsidRDefault="005B78A0" w:rsidP="005B78A0">
            <w:pPr>
              <w:rPr>
                <w:lang w:val="et-EE"/>
              </w:rPr>
            </w:pPr>
            <w:r w:rsidRPr="005B78A0">
              <w:rPr>
                <w:lang w:val="et-EE"/>
              </w:rPr>
              <w:t>3.</w:t>
            </w:r>
            <w:r w:rsidRPr="005B78A0">
              <w:rPr>
                <w:lang w:val="et-EE"/>
              </w:rPr>
              <w:tab/>
              <w:t>Arendaja projekteerib ja ehitab ise vajaliku infrastruktuuri  ja pärast valmimist annab kohalikule omavalitsusele üle või seatakse omavalitsuse kasuks isiklik kasutusõigus avaliku kasutuse tagamiseks;</w:t>
            </w:r>
          </w:p>
          <w:p w14:paraId="45F3BA07" w14:textId="77777777" w:rsidR="00B30436" w:rsidRDefault="005B78A0" w:rsidP="005B78A0">
            <w:pPr>
              <w:rPr>
                <w:lang w:val="et-EE"/>
              </w:rPr>
            </w:pPr>
            <w:r w:rsidRPr="005B78A0">
              <w:rPr>
                <w:lang w:val="et-EE"/>
              </w:rPr>
              <w:t>4.</w:t>
            </w:r>
            <w:r w:rsidRPr="005B78A0">
              <w:rPr>
                <w:lang w:val="et-EE"/>
              </w:rPr>
              <w:tab/>
              <w:t>Kombinatsioon punktidest 2 ja 3. Suurte arenduste puhul võib olla vajalik mingis osas</w:t>
            </w:r>
            <w:r w:rsidR="00E07628">
              <w:rPr>
                <w:lang w:val="et-EE"/>
              </w:rPr>
              <w:t xml:space="preserve"> </w:t>
            </w:r>
            <w:r w:rsidRPr="005B78A0">
              <w:rPr>
                <w:lang w:val="et-EE"/>
              </w:rPr>
              <w:t>rakendada nii seda, et omavalitsus ise rajab midagi kui ka seda, et mingis osas jääb arendajate enda teha.</w:t>
            </w:r>
          </w:p>
          <w:p w14:paraId="7B0A976C" w14:textId="2A096851" w:rsidR="005B78A0" w:rsidRPr="005B78A0" w:rsidRDefault="005B78A0" w:rsidP="005B78A0">
            <w:pPr>
              <w:rPr>
                <w:lang w:val="et-EE"/>
              </w:rPr>
            </w:pPr>
            <w:r w:rsidRPr="005B78A0">
              <w:rPr>
                <w:lang w:val="et-EE"/>
              </w:rPr>
              <w:t xml:space="preserve"> </w:t>
            </w:r>
          </w:p>
          <w:p w14:paraId="4398CF28" w14:textId="77777777" w:rsidR="009A1C10" w:rsidRDefault="006118F8" w:rsidP="005B78A0">
            <w:pPr>
              <w:rPr>
                <w:lang w:val="et-EE"/>
              </w:rPr>
            </w:pPr>
            <w:r>
              <w:rPr>
                <w:lang w:val="et-EE"/>
              </w:rPr>
              <w:t xml:space="preserve">Tallinna linna </w:t>
            </w:r>
            <w:r w:rsidR="005B78A0" w:rsidRPr="005B78A0">
              <w:rPr>
                <w:lang w:val="et-EE"/>
              </w:rPr>
              <w:t xml:space="preserve">hinnangul on varianti 2 võimalik rakendada juhtudel, kui omavalitsusel on endal kavas rajada uut taristut või olemasolevat rekonstrueerida ning seeläbi kasvab ka arendaja arenguala väärtus. Suuremad kinnisvaraarendajad aktsepteerivad põhimõtet, et </w:t>
            </w:r>
            <w:proofErr w:type="spellStart"/>
            <w:r w:rsidR="005B78A0" w:rsidRPr="005B78A0">
              <w:rPr>
                <w:lang w:val="et-EE"/>
              </w:rPr>
              <w:t>kaasfinantseeritakse</w:t>
            </w:r>
            <w:proofErr w:type="spellEnd"/>
            <w:r w:rsidR="005B78A0" w:rsidRPr="005B78A0">
              <w:rPr>
                <w:lang w:val="et-EE"/>
              </w:rPr>
              <w:t xml:space="preserve"> objektide projekteerimist ja ehitamist, kuid oluline on ühtse mudeli olemasolu, et juba äriplaane koostades oleks selge, millise kuluga tuleb arvestada. </w:t>
            </w:r>
          </w:p>
          <w:p w14:paraId="605FFB26" w14:textId="478139F2" w:rsidR="005B78A0" w:rsidRPr="005B78A0" w:rsidRDefault="005B78A0" w:rsidP="005B78A0">
            <w:pPr>
              <w:rPr>
                <w:lang w:val="et-EE"/>
              </w:rPr>
            </w:pPr>
            <w:r w:rsidRPr="005B78A0">
              <w:rPr>
                <w:lang w:val="et-EE"/>
              </w:rPr>
              <w:t xml:space="preserve">Ei saa pidada mõistlikuks ja ökonoomseks olukorda, kus kõik omavalitsused ise leiutavad finantseerimise põhimõtteid, ühtlasi on läbi vaidlemata, milline on õiglane ja proportsionaalne kaasfinantseeringutasu. Nimetatud teema puudutab lisaks teedele ja tehnovõrkudele ka sotsiaalse infrastruktuuri rajamist. Omavalitsusele jääb paindlikus alles, ei ole kohustus valida varianti, kus arendaja </w:t>
            </w:r>
            <w:proofErr w:type="spellStart"/>
            <w:r w:rsidRPr="005B78A0">
              <w:rPr>
                <w:lang w:val="et-EE"/>
              </w:rPr>
              <w:t>kaasfinantseerib</w:t>
            </w:r>
            <w:proofErr w:type="spellEnd"/>
            <w:r w:rsidRPr="005B78A0">
              <w:rPr>
                <w:lang w:val="et-EE"/>
              </w:rPr>
              <w:t xml:space="preserve"> taristu rajamist vaid saab leppida kokku selles, et arendaja rajab arendusala teenindamiseks vajaliku taristu 100% ise. Ühtlustatud valikupõhimõtted on see, mida tegelikult ehitusettevõtjad/kinnisvaraarendajad avalikult sektorilt ootavad. Lisaks sellele selgepiirilisemad valikupõhimõtted vähendavad kindlasti ka korruptsiooniohtlikke olukordi. Võimalik regulatsioon reguleeriks vaid neid juhtumeid, kus omavalitsused soovivad leppida kokku selles, et taristu rajamise asemel tuleb mingis osas selle rajamist finantseerida. </w:t>
            </w:r>
          </w:p>
          <w:p w14:paraId="5D32D6D1" w14:textId="714CCB2F" w:rsidR="005B78A0" w:rsidRPr="005B78A0" w:rsidRDefault="005B78A0" w:rsidP="005B78A0">
            <w:pPr>
              <w:rPr>
                <w:lang w:val="et-EE"/>
              </w:rPr>
            </w:pPr>
            <w:r w:rsidRPr="005B78A0">
              <w:rPr>
                <w:lang w:val="et-EE"/>
              </w:rPr>
              <w:t xml:space="preserve">1.juulil 2015 jõustunud ehitusseadustiku ja planeerimisseaduse peamiseks eesmärgiks oli ehitus- ja planeerimisvaldkonna menetluste lihtsustamine. Seetõttu on võimalik paljudel juhtudel loobuda detailplaneeringu koostamisest, kuivõrd tegemist on aeganõudvama protsessiga ning võimalik ehitusõigus anda projekteerimistingimustega. Seda eeldusel, et üldplaneeringus on vajalikud tingimused määratud ning tegemist on planeerimisseaduses sätestatud juhtumiga, </w:t>
            </w:r>
            <w:r w:rsidRPr="005B78A0">
              <w:rPr>
                <w:lang w:val="et-EE"/>
              </w:rPr>
              <w:lastRenderedPageBreak/>
              <w:t>mil kohalik omavalitsus võib</w:t>
            </w:r>
            <w:r w:rsidR="00935F5A">
              <w:rPr>
                <w:lang w:val="et-EE"/>
              </w:rPr>
              <w:t xml:space="preserve"> </w:t>
            </w:r>
            <w:r w:rsidRPr="005B78A0">
              <w:rPr>
                <w:lang w:val="et-EE"/>
              </w:rPr>
              <w:t>detailplaneeringukohustusega alal loobuda detailplaneeringu koostamise nõudest. Kuna täna ei ole seaduses sätestatud võimalust, et planeerimisseaduse § 131 kohase lepingu võib projekteerimistingimuste menetlemise käigus sõlmida, siis selles osas tuleks samuti seadusi täiendada. Lisaks tuleb</w:t>
            </w:r>
            <w:r w:rsidR="00A06E76">
              <w:rPr>
                <w:lang w:val="et-EE"/>
              </w:rPr>
              <w:t xml:space="preserve"> </w:t>
            </w:r>
            <w:r w:rsidRPr="005B78A0">
              <w:rPr>
                <w:lang w:val="et-EE"/>
              </w:rPr>
              <w:t xml:space="preserve">planeerimisseaduses täpsustada objektide loetelu, mille ehitamist on võimalik delegeerida arendusest huvitatud isikule. Täna on antud võimalus delegeerida teede ja seda teenindavate rajatiste ehitamist, kuid loetelus peaksid kindlasti olema ka sotsiaalobjektid (lasteaed vms sarnane), pargid, mänguväljakud. Selgema volitusnormi olemasolu annaks võimaluse sõlmida ka lihtsamalt kaasfinantseerimise kokkuleppeid.  </w:t>
            </w:r>
          </w:p>
          <w:p w14:paraId="4F43A37F" w14:textId="0267ECFE" w:rsidR="00A578F7" w:rsidRPr="00EB0195" w:rsidRDefault="005B78A0" w:rsidP="005B78A0">
            <w:pPr>
              <w:rPr>
                <w:lang w:val="et-EE"/>
              </w:rPr>
            </w:pPr>
            <w:r w:rsidRPr="005B78A0">
              <w:rPr>
                <w:lang w:val="et-EE"/>
              </w:rPr>
              <w:t xml:space="preserve">Tallinna linn on tellinud ASilt </w:t>
            </w:r>
            <w:proofErr w:type="spellStart"/>
            <w:r w:rsidRPr="005B78A0">
              <w:rPr>
                <w:lang w:val="et-EE"/>
              </w:rPr>
              <w:t>PricewaterhouseCoopers</w:t>
            </w:r>
            <w:proofErr w:type="spellEnd"/>
            <w:r w:rsidRPr="005B78A0">
              <w:rPr>
                <w:lang w:val="et-EE"/>
              </w:rPr>
              <w:t xml:space="preserve"> Advisors uuringu kaasfinantseerimise tasu arvutamise valemi väljatöötamiseks, mille alusel korraldada omavalitsuste ja arendajate vahelises koostöös detailplaneeringualadele juurdepääsuks piirkonna arengu seisukohalt oluliste teede ja tehnovõrkude rajamist.  Kuid nimetatud valem vajab ühtlustamist riigi tasandil, et kõiki planeeringualade arendajaid kohelda võrdsetel alustel ning anda piirkonnale seeläbi olulist lisandväärtust ja korrastatud linnaruumi või avalikku keskkonda.</w:t>
            </w:r>
          </w:p>
        </w:tc>
      </w:tr>
      <w:tr w:rsidR="00A578F7" w:rsidRPr="006D15DA" w14:paraId="7CB2A5D1" w14:textId="77777777" w:rsidTr="00E07628">
        <w:tc>
          <w:tcPr>
            <w:tcW w:w="4078" w:type="dxa"/>
            <w:shd w:val="clear" w:color="auto" w:fill="auto"/>
            <w:vAlign w:val="center"/>
          </w:tcPr>
          <w:p w14:paraId="03AD5662" w14:textId="77777777" w:rsidR="00D562F9" w:rsidRDefault="00D562F9" w:rsidP="0032012E">
            <w:pPr>
              <w:rPr>
                <w:b/>
                <w:bCs/>
                <w:lang w:val="et-EE"/>
              </w:rPr>
            </w:pPr>
          </w:p>
          <w:p w14:paraId="6E692C9E" w14:textId="7C988EDB" w:rsidR="0032012E" w:rsidRDefault="0032012E" w:rsidP="0032012E">
            <w:pPr>
              <w:rPr>
                <w:b/>
                <w:bCs/>
                <w:lang w:val="et-EE"/>
              </w:rPr>
            </w:pPr>
            <w:r w:rsidRPr="001B2ACD">
              <w:rPr>
                <w:b/>
                <w:bCs/>
                <w:lang w:val="et-EE"/>
              </w:rPr>
              <w:t>Ettepanek</w:t>
            </w:r>
            <w:r w:rsidR="001B2ACD">
              <w:rPr>
                <w:b/>
                <w:bCs/>
                <w:lang w:val="et-EE"/>
              </w:rPr>
              <w:t xml:space="preserve"> 6</w:t>
            </w:r>
          </w:p>
          <w:p w14:paraId="75786415" w14:textId="77777777" w:rsidR="0056071E" w:rsidRPr="001B2ACD" w:rsidRDefault="0056071E" w:rsidP="0032012E">
            <w:pPr>
              <w:rPr>
                <w:b/>
                <w:bCs/>
                <w:lang w:val="et-EE"/>
              </w:rPr>
            </w:pPr>
          </w:p>
          <w:p w14:paraId="39C2A2EC" w14:textId="77777777" w:rsidR="007640D7" w:rsidRPr="00836511" w:rsidRDefault="00D053C5" w:rsidP="007640D7">
            <w:pPr>
              <w:rPr>
                <w:lang w:val="et-EE"/>
              </w:rPr>
            </w:pPr>
            <w:r w:rsidRPr="00933284">
              <w:rPr>
                <w:lang w:val="et-EE"/>
              </w:rPr>
              <w:t>Ehitusseadustiku kehtestamisega on likvideeritud ühtne teede regulatsioon, kohustused, vastutus ning piirangud,</w:t>
            </w:r>
            <w:r w:rsidR="007640D7">
              <w:rPr>
                <w:lang w:val="et-EE"/>
              </w:rPr>
              <w:t xml:space="preserve"> </w:t>
            </w:r>
            <w:r w:rsidR="007640D7" w:rsidRPr="00836511">
              <w:rPr>
                <w:lang w:val="et-EE"/>
              </w:rPr>
              <w:t>kui ka mitmed riigiasutused, kuid info objekti teise asutuse järelevalves oleku kohta puudub.</w:t>
            </w:r>
          </w:p>
          <w:p w14:paraId="7AF10116" w14:textId="77777777" w:rsidR="007640D7" w:rsidRDefault="007640D7" w:rsidP="007640D7">
            <w:pPr>
              <w:rPr>
                <w:lang w:val="et-EE"/>
              </w:rPr>
            </w:pPr>
            <w:proofErr w:type="spellStart"/>
            <w:r w:rsidRPr="00836511">
              <w:rPr>
                <w:lang w:val="et-EE"/>
              </w:rPr>
              <w:t>EHRi</w:t>
            </w:r>
            <w:proofErr w:type="spellEnd"/>
            <w:r w:rsidRPr="00836511">
              <w:rPr>
                <w:lang w:val="et-EE"/>
              </w:rPr>
              <w:t xml:space="preserve"> töökindluse ja kasutajasõbralikkuse (õigemini nende puudumise) taga seisab hetkel suur hulk tööjõudlust.</w:t>
            </w:r>
          </w:p>
          <w:p w14:paraId="5DF2587E" w14:textId="0AC3A288" w:rsidR="0053440E" w:rsidRDefault="0053440E" w:rsidP="00994A03">
            <w:pPr>
              <w:rPr>
                <w:lang w:val="et-EE"/>
              </w:rPr>
            </w:pPr>
          </w:p>
          <w:p w14:paraId="27A98060" w14:textId="48601090" w:rsidR="00DC5264" w:rsidRPr="0032012E" w:rsidRDefault="002A5A07" w:rsidP="00DC5264">
            <w:pPr>
              <w:rPr>
                <w:lang w:val="et-EE"/>
              </w:rPr>
            </w:pPr>
            <w:r>
              <w:rPr>
                <w:lang w:val="et-EE"/>
              </w:rPr>
              <w:t>Jätkata</w:t>
            </w:r>
            <w:r w:rsidRPr="00933284">
              <w:rPr>
                <w:lang w:val="et-EE"/>
              </w:rPr>
              <w:t xml:space="preserve"> ehitisregistri (EHR) täiustamine hõlbustamaks suuremahuliste projektdokumentatsioonide menetlust</w:t>
            </w:r>
            <w:r w:rsidR="00DB4671">
              <w:rPr>
                <w:lang w:val="et-EE"/>
              </w:rPr>
              <w:t xml:space="preserve"> ning </w:t>
            </w:r>
            <w:r w:rsidRPr="00933284">
              <w:rPr>
                <w:lang w:val="et-EE"/>
              </w:rPr>
              <w:t xml:space="preserve"> </w:t>
            </w:r>
            <w:r w:rsidR="00DC5264">
              <w:rPr>
                <w:lang w:val="et-EE"/>
              </w:rPr>
              <w:t>k</w:t>
            </w:r>
            <w:r w:rsidR="00DC5264" w:rsidRPr="0032012E">
              <w:rPr>
                <w:lang w:val="et-EE"/>
              </w:rPr>
              <w:t>aasata omavalitsuste esindajaid nii uue Ehituseadustiku kui ka Planeerimisseaduse muutmise aruteludesse  ning viia läbi ehitisregistri (EHR) täiustamine hõlbustamaks suuremahuliste projektdokumentatsioonide menetlust, sh:</w:t>
            </w:r>
          </w:p>
          <w:p w14:paraId="2CAEAD94" w14:textId="77777777" w:rsidR="00DC5264" w:rsidRPr="0032012E" w:rsidRDefault="00DC5264" w:rsidP="00DC5264">
            <w:pPr>
              <w:rPr>
                <w:lang w:val="et-EE"/>
              </w:rPr>
            </w:pPr>
            <w:r w:rsidRPr="0032012E">
              <w:rPr>
                <w:lang w:val="et-EE"/>
              </w:rPr>
              <w:t>1)</w:t>
            </w:r>
            <w:r w:rsidRPr="0032012E">
              <w:rPr>
                <w:lang w:val="et-EE"/>
              </w:rPr>
              <w:tab/>
              <w:t xml:space="preserve">arendada välja </w:t>
            </w:r>
            <w:proofErr w:type="spellStart"/>
            <w:r w:rsidRPr="0032012E">
              <w:rPr>
                <w:lang w:val="et-EE"/>
              </w:rPr>
              <w:t>EHRis</w:t>
            </w:r>
            <w:proofErr w:type="spellEnd"/>
            <w:r w:rsidRPr="0032012E">
              <w:rPr>
                <w:lang w:val="et-EE"/>
              </w:rPr>
              <w:t xml:space="preserve"> eskiiside, </w:t>
            </w:r>
            <w:r w:rsidRPr="0032012E">
              <w:rPr>
                <w:lang w:val="et-EE"/>
              </w:rPr>
              <w:lastRenderedPageBreak/>
              <w:t>muudatusprojektide ja riikliku järelevalve menetluste osa;</w:t>
            </w:r>
          </w:p>
          <w:p w14:paraId="4445E447" w14:textId="77777777" w:rsidR="00DC5264" w:rsidRDefault="00DC5264" w:rsidP="00DC5264">
            <w:pPr>
              <w:rPr>
                <w:lang w:val="et-EE"/>
              </w:rPr>
            </w:pPr>
            <w:r w:rsidRPr="0032012E">
              <w:rPr>
                <w:lang w:val="et-EE"/>
              </w:rPr>
              <w:t>2)</w:t>
            </w:r>
            <w:r w:rsidRPr="0032012E">
              <w:rPr>
                <w:lang w:val="et-EE"/>
              </w:rPr>
              <w:tab/>
              <w:t xml:space="preserve">oluliselt tõhustada/ kiirendada käivitunud </w:t>
            </w:r>
            <w:proofErr w:type="spellStart"/>
            <w:r w:rsidRPr="0032012E">
              <w:rPr>
                <w:lang w:val="et-EE"/>
              </w:rPr>
              <w:t>EHRi</w:t>
            </w:r>
            <w:proofErr w:type="spellEnd"/>
            <w:r w:rsidRPr="0032012E">
              <w:rPr>
                <w:lang w:val="et-EE"/>
              </w:rPr>
              <w:t xml:space="preserve"> lubade menetlemise rakenduse töökindlamaks ja kasutajasõbralikumaks muutmist.</w:t>
            </w:r>
          </w:p>
          <w:p w14:paraId="72E36943" w14:textId="485345A5" w:rsidR="002A5A07" w:rsidRPr="00933284" w:rsidRDefault="002A5A07" w:rsidP="002A5A07">
            <w:pPr>
              <w:rPr>
                <w:lang w:val="et-EE"/>
              </w:rPr>
            </w:pPr>
          </w:p>
          <w:p w14:paraId="194A17CB" w14:textId="77777777" w:rsidR="002A5A07" w:rsidRPr="00933284" w:rsidRDefault="002A5A07" w:rsidP="002A5A07">
            <w:pPr>
              <w:rPr>
                <w:lang w:val="et-EE"/>
              </w:rPr>
            </w:pPr>
          </w:p>
          <w:p w14:paraId="499B7EE1" w14:textId="1870BC5C" w:rsidR="002A5A07" w:rsidRPr="00EB0195" w:rsidRDefault="002A5A07" w:rsidP="002A5A07">
            <w:pPr>
              <w:rPr>
                <w:lang w:val="et-EE"/>
              </w:rPr>
            </w:pPr>
          </w:p>
        </w:tc>
        <w:tc>
          <w:tcPr>
            <w:tcW w:w="5447" w:type="dxa"/>
            <w:shd w:val="clear" w:color="auto" w:fill="auto"/>
            <w:vAlign w:val="center"/>
          </w:tcPr>
          <w:p w14:paraId="31E04F00" w14:textId="77777777" w:rsidR="00836511" w:rsidRPr="00836511" w:rsidRDefault="00836511" w:rsidP="00836511">
            <w:pPr>
              <w:rPr>
                <w:lang w:val="et-EE"/>
              </w:rPr>
            </w:pPr>
            <w:r w:rsidRPr="00836511">
              <w:rPr>
                <w:lang w:val="et-EE"/>
              </w:rPr>
              <w:lastRenderedPageBreak/>
              <w:t xml:space="preserve">Ehitusseadustiku kehtestamisega on likvideeritud ühtne teede regulatsioon, kohustused, vastutused ning piirangud, millel on oluline roll avalikus õiguses. </w:t>
            </w:r>
          </w:p>
          <w:p w14:paraId="05438161" w14:textId="77777777" w:rsidR="00836511" w:rsidRPr="00836511" w:rsidRDefault="00836511" w:rsidP="00836511">
            <w:pPr>
              <w:rPr>
                <w:lang w:val="et-EE"/>
              </w:rPr>
            </w:pPr>
            <w:r w:rsidRPr="00836511">
              <w:rPr>
                <w:lang w:val="et-EE"/>
              </w:rPr>
              <w:t xml:space="preserve">Seetõttu vajab täpsustamist teerajatiste osas nii ehitus- kui ka kasutuslubade väljastamise kohustuslikkus. </w:t>
            </w:r>
          </w:p>
          <w:p w14:paraId="09C71991" w14:textId="77777777" w:rsidR="00836511" w:rsidRPr="00836511" w:rsidRDefault="00836511" w:rsidP="00836511">
            <w:pPr>
              <w:rPr>
                <w:lang w:val="et-EE"/>
              </w:rPr>
            </w:pPr>
            <w:r w:rsidRPr="00836511">
              <w:rPr>
                <w:lang w:val="et-EE"/>
              </w:rPr>
              <w:t xml:space="preserve">Tänavate ja teede osas on linn huvitatud eelkõige linnale ületulevate teede ja tänavate, sh tänavavalgustus ja sademeveekanalisatsioon, ehitusprojektidele </w:t>
            </w:r>
            <w:proofErr w:type="spellStart"/>
            <w:r w:rsidRPr="00836511">
              <w:rPr>
                <w:lang w:val="et-EE"/>
              </w:rPr>
              <w:t>EHR-is</w:t>
            </w:r>
            <w:proofErr w:type="spellEnd"/>
            <w:r w:rsidRPr="00836511">
              <w:rPr>
                <w:lang w:val="et-EE"/>
              </w:rPr>
              <w:t xml:space="preserve"> ehitus- ja kasutuslubade menetlemisest. </w:t>
            </w:r>
            <w:proofErr w:type="spellStart"/>
            <w:r w:rsidRPr="00836511">
              <w:rPr>
                <w:lang w:val="et-EE"/>
              </w:rPr>
              <w:t>EHR-i</w:t>
            </w:r>
            <w:proofErr w:type="spellEnd"/>
            <w:r w:rsidRPr="00836511">
              <w:rPr>
                <w:lang w:val="et-EE"/>
              </w:rPr>
              <w:t xml:space="preserve"> kaudu ei saa enam menetleda kasutusteatisi. </w:t>
            </w:r>
          </w:p>
          <w:p w14:paraId="362C9369" w14:textId="77777777" w:rsidR="00836511" w:rsidRPr="00836511" w:rsidRDefault="00836511" w:rsidP="00836511">
            <w:pPr>
              <w:rPr>
                <w:lang w:val="et-EE"/>
              </w:rPr>
            </w:pPr>
            <w:r w:rsidRPr="00836511">
              <w:rPr>
                <w:lang w:val="et-EE"/>
              </w:rPr>
              <w:t xml:space="preserve">Ehitusseadustiku alusel asutatud </w:t>
            </w:r>
            <w:proofErr w:type="spellStart"/>
            <w:r w:rsidRPr="00836511">
              <w:rPr>
                <w:lang w:val="et-EE"/>
              </w:rPr>
              <w:t>EHRi</w:t>
            </w:r>
            <w:proofErr w:type="spellEnd"/>
            <w:r w:rsidRPr="00836511">
              <w:rPr>
                <w:lang w:val="et-EE"/>
              </w:rPr>
              <w:t xml:space="preserve"> kasutamisel on praktikas ilmnenud mitmed kitsaskohad, mida oleks vaja üle vaadata/kohendada.</w:t>
            </w:r>
          </w:p>
          <w:p w14:paraId="672004C6" w14:textId="77777777" w:rsidR="00836511" w:rsidRPr="00836511" w:rsidRDefault="00836511" w:rsidP="00836511">
            <w:pPr>
              <w:rPr>
                <w:lang w:val="et-EE"/>
              </w:rPr>
            </w:pPr>
            <w:r w:rsidRPr="00836511">
              <w:rPr>
                <w:lang w:val="et-EE"/>
              </w:rPr>
              <w:t>EHR ei vasta suuremahuliste ehitusprojektide menetlusnõuete vajadustele, mistõttu on projektide menetlemine oluliselt viibinud võrreldes 2015. aastaga. Probleeme valmistab suurte andmemahtude üleslaadimine.</w:t>
            </w:r>
          </w:p>
          <w:p w14:paraId="526413C5" w14:textId="77777777" w:rsidR="00836511" w:rsidRPr="00836511" w:rsidRDefault="00836511" w:rsidP="00836511">
            <w:pPr>
              <w:rPr>
                <w:lang w:val="et-EE"/>
              </w:rPr>
            </w:pPr>
            <w:r w:rsidRPr="00836511">
              <w:rPr>
                <w:lang w:val="et-EE"/>
              </w:rPr>
              <w:t xml:space="preserve">Vajadus on </w:t>
            </w:r>
            <w:proofErr w:type="spellStart"/>
            <w:r w:rsidRPr="00836511">
              <w:rPr>
                <w:lang w:val="et-EE"/>
              </w:rPr>
              <w:t>EHR-i</w:t>
            </w:r>
            <w:proofErr w:type="spellEnd"/>
            <w:r w:rsidRPr="00836511">
              <w:rPr>
                <w:lang w:val="et-EE"/>
              </w:rPr>
              <w:t xml:space="preserve"> laadida </w:t>
            </w:r>
            <w:proofErr w:type="spellStart"/>
            <w:r w:rsidRPr="00836511">
              <w:rPr>
                <w:lang w:val="et-EE"/>
              </w:rPr>
              <w:t>dwg</w:t>
            </w:r>
            <w:proofErr w:type="spellEnd"/>
            <w:r w:rsidRPr="00836511">
              <w:rPr>
                <w:lang w:val="et-EE"/>
              </w:rPr>
              <w:t xml:space="preserve"> faile ja jagada ametite siseselt ülesandeid. Tähtaja märkimisel arvestada tööpäevadega, mitte nädalapäevadega.</w:t>
            </w:r>
          </w:p>
          <w:p w14:paraId="3295E5EE" w14:textId="77777777" w:rsidR="00DC5264" w:rsidRDefault="00836511" w:rsidP="007640D7">
            <w:pPr>
              <w:rPr>
                <w:lang w:val="et-EE"/>
              </w:rPr>
            </w:pPr>
            <w:r w:rsidRPr="00836511">
              <w:rPr>
                <w:lang w:val="et-EE"/>
              </w:rPr>
              <w:t xml:space="preserve">Õigusaktid näevad ette riikliku järelevalve andmete olemasolu </w:t>
            </w:r>
            <w:proofErr w:type="spellStart"/>
            <w:r w:rsidRPr="00836511">
              <w:rPr>
                <w:lang w:val="et-EE"/>
              </w:rPr>
              <w:t>EHRis</w:t>
            </w:r>
            <w:proofErr w:type="spellEnd"/>
            <w:r w:rsidRPr="00836511">
              <w:rPr>
                <w:lang w:val="et-EE"/>
              </w:rPr>
              <w:t xml:space="preserve">, kuid täna seda võimalust ei ole. Ehitusseadustiku alusel teevad järelevalvet nii </w:t>
            </w:r>
            <w:proofErr w:type="spellStart"/>
            <w:r w:rsidRPr="00836511">
              <w:rPr>
                <w:lang w:val="et-EE"/>
              </w:rPr>
              <w:t>KOVid</w:t>
            </w:r>
            <w:proofErr w:type="spellEnd"/>
            <w:r w:rsidRPr="00836511">
              <w:rPr>
                <w:lang w:val="et-EE"/>
              </w:rPr>
              <w:t xml:space="preserve"> </w:t>
            </w:r>
          </w:p>
          <w:p w14:paraId="6D5F50FB" w14:textId="2B9FF565" w:rsidR="00C751A0" w:rsidRPr="00EB0195" w:rsidRDefault="00C751A0" w:rsidP="007640D7">
            <w:pPr>
              <w:rPr>
                <w:lang w:val="et-EE"/>
              </w:rPr>
            </w:pPr>
          </w:p>
        </w:tc>
      </w:tr>
      <w:tr w:rsidR="00A578F7" w:rsidRPr="006D15DA" w14:paraId="24DA144B" w14:textId="77777777" w:rsidTr="00E07628">
        <w:tc>
          <w:tcPr>
            <w:tcW w:w="4078" w:type="dxa"/>
            <w:shd w:val="clear" w:color="auto" w:fill="auto"/>
            <w:vAlign w:val="center"/>
          </w:tcPr>
          <w:p w14:paraId="0845E538" w14:textId="77777777" w:rsidR="00D562F9" w:rsidRDefault="00D562F9" w:rsidP="00D80A72">
            <w:pPr>
              <w:rPr>
                <w:b/>
                <w:bCs/>
                <w:lang w:val="et-EE"/>
              </w:rPr>
            </w:pPr>
          </w:p>
          <w:p w14:paraId="4584534B" w14:textId="2BD79397" w:rsidR="00D80A72" w:rsidRDefault="00D80A72" w:rsidP="00D80A72">
            <w:pPr>
              <w:rPr>
                <w:b/>
                <w:bCs/>
                <w:lang w:val="et-EE"/>
              </w:rPr>
            </w:pPr>
            <w:r w:rsidRPr="001B2ACD">
              <w:rPr>
                <w:b/>
                <w:bCs/>
                <w:lang w:val="et-EE"/>
              </w:rPr>
              <w:t xml:space="preserve">Ettepanek </w:t>
            </w:r>
            <w:r w:rsidR="001B2ACD">
              <w:rPr>
                <w:b/>
                <w:bCs/>
                <w:lang w:val="et-EE"/>
              </w:rPr>
              <w:t>7</w:t>
            </w:r>
          </w:p>
          <w:p w14:paraId="0D338587" w14:textId="77777777" w:rsidR="0056071E" w:rsidRPr="001B2ACD" w:rsidRDefault="0056071E" w:rsidP="00D80A72">
            <w:pPr>
              <w:rPr>
                <w:b/>
                <w:bCs/>
                <w:lang w:val="et-EE"/>
              </w:rPr>
            </w:pPr>
          </w:p>
          <w:p w14:paraId="007C4CDA" w14:textId="1711984A" w:rsidR="00D80A72" w:rsidRPr="00D80A72" w:rsidRDefault="00D80A72" w:rsidP="00D80A72">
            <w:pPr>
              <w:rPr>
                <w:lang w:val="et-EE"/>
              </w:rPr>
            </w:pPr>
            <w:r w:rsidRPr="00D80A72">
              <w:rPr>
                <w:lang w:val="et-EE"/>
              </w:rPr>
              <w:t>Seoses suur- või raskeveoste lagundava mõjuga teekattele ning sildade-viaduktide konstruktsioonile ning ühtlasi Tallinna linna tulubaasi vähenemisega suur- või raskeveose teostamisel, muuta majandus- ja taristuministri 4.09.2015 määrust nr 114 „</w:t>
            </w:r>
            <w:proofErr w:type="spellStart"/>
            <w:r w:rsidRPr="00D80A72">
              <w:rPr>
                <w:lang w:val="et-EE"/>
              </w:rPr>
              <w:t>Eriveo</w:t>
            </w:r>
            <w:proofErr w:type="spellEnd"/>
            <w:r w:rsidRPr="00D80A72">
              <w:rPr>
                <w:lang w:val="et-EE"/>
              </w:rPr>
              <w:t xml:space="preserve"> tingimused ning </w:t>
            </w:r>
            <w:proofErr w:type="spellStart"/>
            <w:r w:rsidRPr="00D80A72">
              <w:rPr>
                <w:lang w:val="et-EE"/>
              </w:rPr>
              <w:t>eriveo</w:t>
            </w:r>
            <w:proofErr w:type="spellEnd"/>
            <w:r w:rsidRPr="00D80A72">
              <w:rPr>
                <w:lang w:val="et-EE"/>
              </w:rPr>
              <w:t xml:space="preserve"> teostamise ja erilubade väljaandmise kord ning tee omanikule tekitatud kulutuste hüvitamise, eriloa menetlustasu ja eritasu määrad“</w:t>
            </w:r>
            <w:r w:rsidR="00DC5917">
              <w:rPr>
                <w:lang w:val="et-EE"/>
              </w:rPr>
              <w:t xml:space="preserve"> </w:t>
            </w:r>
            <w:r w:rsidR="00EB080F">
              <w:rPr>
                <w:lang w:val="et-EE"/>
              </w:rPr>
              <w:t>teeme ettepaneku</w:t>
            </w:r>
            <w:r w:rsidRPr="00D80A72">
              <w:rPr>
                <w:lang w:val="et-EE"/>
              </w:rPr>
              <w:t>:</w:t>
            </w:r>
          </w:p>
          <w:p w14:paraId="3B9CEA30" w14:textId="77777777" w:rsidR="00D80A72" w:rsidRPr="00D80A72" w:rsidRDefault="00D80A72" w:rsidP="00D80A72">
            <w:pPr>
              <w:rPr>
                <w:lang w:val="et-EE"/>
              </w:rPr>
            </w:pPr>
            <w:r w:rsidRPr="00D80A72">
              <w:rPr>
                <w:lang w:val="et-EE"/>
              </w:rPr>
              <w:t>1.</w:t>
            </w:r>
            <w:r w:rsidRPr="00D80A72">
              <w:rPr>
                <w:lang w:val="et-EE"/>
              </w:rPr>
              <w:tab/>
              <w:t xml:space="preserve">Kehtestada §15 lg 1 alusel eritasust vabastatud kraanade puhul </w:t>
            </w:r>
            <w:proofErr w:type="spellStart"/>
            <w:r w:rsidRPr="00D80A72">
              <w:rPr>
                <w:lang w:val="et-EE"/>
              </w:rPr>
              <w:t>veoloa</w:t>
            </w:r>
            <w:proofErr w:type="spellEnd"/>
            <w:r w:rsidRPr="00D80A72">
              <w:rPr>
                <w:lang w:val="et-EE"/>
              </w:rPr>
              <w:t xml:space="preserve"> väljastamise menetlustasu. Kui </w:t>
            </w:r>
            <w:proofErr w:type="spellStart"/>
            <w:r w:rsidRPr="00D80A72">
              <w:rPr>
                <w:lang w:val="et-EE"/>
              </w:rPr>
              <w:t>üleeuroopalise</w:t>
            </w:r>
            <w:proofErr w:type="spellEnd"/>
            <w:r w:rsidRPr="00D80A72">
              <w:rPr>
                <w:lang w:val="et-EE"/>
              </w:rPr>
              <w:t xml:space="preserve"> kokkuleppe alusel on autokraanad, mille tegelik mass ei ületa 48 t ning ühegi telje koormus ei ületa 12 t  vabastatud </w:t>
            </w:r>
            <w:proofErr w:type="spellStart"/>
            <w:r w:rsidRPr="00D80A72">
              <w:rPr>
                <w:lang w:val="et-EE"/>
              </w:rPr>
              <w:t>eriveo</w:t>
            </w:r>
            <w:proofErr w:type="spellEnd"/>
            <w:r w:rsidRPr="00D80A72">
              <w:rPr>
                <w:lang w:val="et-EE"/>
              </w:rPr>
              <w:t xml:space="preserve"> tasust, siis ei ole põhjendatud nende lubade väljastamise vabastamine menetlustasust.</w:t>
            </w:r>
          </w:p>
          <w:p w14:paraId="0DD1069D" w14:textId="77777777" w:rsidR="00D80A72" w:rsidRPr="00D80A72" w:rsidRDefault="00D80A72" w:rsidP="00D80A72">
            <w:pPr>
              <w:rPr>
                <w:lang w:val="et-EE"/>
              </w:rPr>
            </w:pPr>
            <w:r w:rsidRPr="00D80A72">
              <w:rPr>
                <w:lang w:val="et-EE"/>
              </w:rPr>
              <w:t>2.</w:t>
            </w:r>
            <w:r w:rsidRPr="00D80A72">
              <w:rPr>
                <w:lang w:val="et-EE"/>
              </w:rPr>
              <w:tab/>
              <w:t>Suurendada veose kogukaalu ja teljekoormuse ületamise eest ette nähtud tasumäärasid praegu kehtivatega võrreldes vähemalt 2,5 korda, sest kõnealuste veoste lagundav mõju teekattele ning sildade-viaduktide konstruktsioonile on suurim.</w:t>
            </w:r>
          </w:p>
          <w:p w14:paraId="29FC1E0F" w14:textId="26F76571" w:rsidR="00A578F7" w:rsidRPr="00EB0195" w:rsidRDefault="00D80A72" w:rsidP="00D80A72">
            <w:pPr>
              <w:rPr>
                <w:lang w:val="et-EE"/>
              </w:rPr>
            </w:pPr>
            <w:r w:rsidRPr="00D80A72">
              <w:rPr>
                <w:lang w:val="et-EE"/>
              </w:rPr>
              <w:t>3.</w:t>
            </w:r>
            <w:r w:rsidRPr="00D80A72">
              <w:rPr>
                <w:lang w:val="et-EE"/>
              </w:rPr>
              <w:tab/>
              <w:t>Kehtestada kiirendatud korras väljastatava eriveoloa menetlustasuks vähemalt 20€. (Praegune 4€ suurune hinnavahe kiirelt väljastatava ja tavalise loa menetlustasu vahel ei motiveeri eriveoluba aegsasti taotlema, mis omakorda põhjustab tööpäevade hommikupoolikutel taotluste kuhjumist.)</w:t>
            </w:r>
          </w:p>
        </w:tc>
        <w:tc>
          <w:tcPr>
            <w:tcW w:w="5447" w:type="dxa"/>
            <w:shd w:val="clear" w:color="auto" w:fill="auto"/>
            <w:vAlign w:val="center"/>
          </w:tcPr>
          <w:p w14:paraId="24887AC2" w14:textId="77777777" w:rsidR="0068057A" w:rsidRPr="0068057A" w:rsidRDefault="0068057A" w:rsidP="0068057A">
            <w:pPr>
              <w:rPr>
                <w:lang w:val="et-EE"/>
              </w:rPr>
            </w:pPr>
            <w:r w:rsidRPr="0068057A">
              <w:rPr>
                <w:lang w:val="et-EE"/>
              </w:rPr>
              <w:t>Majandus- ja taristuministri 4.09.2015 määrusega nr 114 „</w:t>
            </w:r>
            <w:proofErr w:type="spellStart"/>
            <w:r w:rsidRPr="0068057A">
              <w:rPr>
                <w:lang w:val="et-EE"/>
              </w:rPr>
              <w:t>Eriveo</w:t>
            </w:r>
            <w:proofErr w:type="spellEnd"/>
            <w:r w:rsidRPr="0068057A">
              <w:rPr>
                <w:lang w:val="et-EE"/>
              </w:rPr>
              <w:t xml:space="preserve"> tingimused ning </w:t>
            </w:r>
            <w:proofErr w:type="spellStart"/>
            <w:r w:rsidRPr="0068057A">
              <w:rPr>
                <w:lang w:val="et-EE"/>
              </w:rPr>
              <w:t>eriveo</w:t>
            </w:r>
            <w:proofErr w:type="spellEnd"/>
            <w:r w:rsidRPr="0068057A">
              <w:rPr>
                <w:lang w:val="et-EE"/>
              </w:rPr>
              <w:t xml:space="preserve"> teostamise ja erilubade väljaandmise kord ning tee omanikule tekitatud kulutuste hüvitamise, eriloa menetlustasu ja eritasu määrad“ vähendati tasu kiirloa vormistamise (vormistatud kiiremini kui 8 töötunni jooksul) eest varasemalt 30 eurolt 10 eurole. Lisaks vabastati ülekaalulise veose maksust liikuvkraanad, mille kaal on kuni 48 tonni, teljekoormus ei ületa 12 tonni ja pikkus 12 m (varasemalt pidid nad tasuma kaalu ületamise eest võrdselt muude sõidukitega). Samas on sellistel kraanadel säilinud kohustus omada veoseluba, mille kohalik omavalitsus peab tasuta väljastama. Enamus veoseloa taotlejaid kasutab nüüd kiirloa vormistamise võimalust. </w:t>
            </w:r>
          </w:p>
          <w:p w14:paraId="22DA2358" w14:textId="77777777" w:rsidR="0068057A" w:rsidRPr="0068057A" w:rsidRDefault="0068057A" w:rsidP="0068057A">
            <w:pPr>
              <w:rPr>
                <w:lang w:val="et-EE"/>
              </w:rPr>
            </w:pPr>
            <w:r w:rsidRPr="0068057A">
              <w:rPr>
                <w:lang w:val="et-EE"/>
              </w:rPr>
              <w:t xml:space="preserve">Põhiosa </w:t>
            </w:r>
            <w:proofErr w:type="spellStart"/>
            <w:r w:rsidRPr="0068057A">
              <w:rPr>
                <w:lang w:val="et-EE"/>
              </w:rPr>
              <w:t>ülegabariidilistele</w:t>
            </w:r>
            <w:proofErr w:type="spellEnd"/>
            <w:r w:rsidRPr="0068057A">
              <w:rPr>
                <w:lang w:val="et-EE"/>
              </w:rPr>
              <w:t xml:space="preserve"> veostele väljastatavatest veoselubadest on seotud Tallinna sadama kaudu liikuva transiidiga ning linnas toimuva ehitustegevusega. Veoselubade väljastamisest saadav tulu sõltub seega nii riigi poolt kehtestatud tariifidest kui Tallinnas toimuvast ehitustegevusest ning linna läbivatest transiitveostest.</w:t>
            </w:r>
          </w:p>
          <w:p w14:paraId="4819E7B0" w14:textId="258AA9A8" w:rsidR="00A578F7" w:rsidRPr="00EB0195" w:rsidRDefault="0068057A" w:rsidP="0068057A">
            <w:pPr>
              <w:rPr>
                <w:lang w:val="et-EE"/>
              </w:rPr>
            </w:pPr>
            <w:r w:rsidRPr="0068057A">
              <w:rPr>
                <w:lang w:val="et-EE"/>
              </w:rPr>
              <w:t>Samas on suur- või raskeveosed lagundava mõjuga teekattele ning sildade-viaduktide konstruktsioonile, tuues kaasa täiendavaid  teede korrashoiu kulusid veoselubadel märgitud marsruutidel.</w:t>
            </w:r>
          </w:p>
        </w:tc>
      </w:tr>
      <w:tr w:rsidR="00A578F7" w:rsidRPr="006D15DA" w14:paraId="0180DA8E" w14:textId="77777777" w:rsidTr="00E07628">
        <w:tc>
          <w:tcPr>
            <w:tcW w:w="4078" w:type="dxa"/>
            <w:shd w:val="clear" w:color="auto" w:fill="auto"/>
            <w:vAlign w:val="center"/>
          </w:tcPr>
          <w:p w14:paraId="090E9C7F" w14:textId="77777777" w:rsidR="00D562F9" w:rsidRDefault="00D562F9" w:rsidP="006B1DA5">
            <w:pPr>
              <w:rPr>
                <w:b/>
                <w:bCs/>
                <w:lang w:val="et-EE"/>
              </w:rPr>
            </w:pPr>
          </w:p>
          <w:p w14:paraId="75F7B95C" w14:textId="77777777" w:rsidR="00D562F9" w:rsidRDefault="00D562F9" w:rsidP="006B1DA5">
            <w:pPr>
              <w:rPr>
                <w:b/>
                <w:bCs/>
                <w:lang w:val="et-EE"/>
              </w:rPr>
            </w:pPr>
          </w:p>
          <w:p w14:paraId="744FF9F6" w14:textId="77777777" w:rsidR="00D562F9" w:rsidRDefault="00D562F9" w:rsidP="006B1DA5">
            <w:pPr>
              <w:rPr>
                <w:b/>
                <w:bCs/>
                <w:lang w:val="et-EE"/>
              </w:rPr>
            </w:pPr>
          </w:p>
          <w:p w14:paraId="454D45D3" w14:textId="3B8EE766" w:rsidR="006B1DA5" w:rsidRDefault="006B1DA5" w:rsidP="006B1DA5">
            <w:pPr>
              <w:rPr>
                <w:b/>
                <w:bCs/>
                <w:lang w:val="et-EE"/>
              </w:rPr>
            </w:pPr>
            <w:r w:rsidRPr="001B2ACD">
              <w:rPr>
                <w:b/>
                <w:bCs/>
                <w:lang w:val="et-EE"/>
              </w:rPr>
              <w:t xml:space="preserve">Ettepanek </w:t>
            </w:r>
            <w:r w:rsidR="001B2ACD">
              <w:rPr>
                <w:b/>
                <w:bCs/>
                <w:lang w:val="et-EE"/>
              </w:rPr>
              <w:t>8</w:t>
            </w:r>
          </w:p>
          <w:p w14:paraId="7CB0703C" w14:textId="77777777" w:rsidR="0056071E" w:rsidRPr="001B2ACD" w:rsidRDefault="0056071E" w:rsidP="006B1DA5">
            <w:pPr>
              <w:rPr>
                <w:b/>
                <w:bCs/>
                <w:lang w:val="et-EE"/>
              </w:rPr>
            </w:pPr>
          </w:p>
          <w:p w14:paraId="31E494ED" w14:textId="407C9302" w:rsidR="00A578F7" w:rsidRPr="00EB0195" w:rsidRDefault="006B1DA5" w:rsidP="006B1DA5">
            <w:pPr>
              <w:rPr>
                <w:lang w:val="et-EE"/>
              </w:rPr>
            </w:pPr>
            <w:r w:rsidRPr="006B1DA5">
              <w:rPr>
                <w:lang w:val="et-EE"/>
              </w:rPr>
              <w:t>Töötada välja meetmed linnalistes piirkondades lamellrehvide kasutamise soodustamiseks või maksustada naastrehvide kasutamist</w:t>
            </w:r>
          </w:p>
        </w:tc>
        <w:tc>
          <w:tcPr>
            <w:tcW w:w="5447" w:type="dxa"/>
            <w:shd w:val="clear" w:color="auto" w:fill="auto"/>
            <w:vAlign w:val="center"/>
          </w:tcPr>
          <w:p w14:paraId="293215F3" w14:textId="4AF25CFE" w:rsidR="00A578F7" w:rsidRPr="00EB0195" w:rsidRDefault="00743C5B" w:rsidP="00743C5B">
            <w:pPr>
              <w:rPr>
                <w:lang w:val="et-EE"/>
              </w:rPr>
            </w:pPr>
            <w:r w:rsidRPr="00743C5B">
              <w:rPr>
                <w:lang w:val="et-EE"/>
              </w:rPr>
              <w:lastRenderedPageBreak/>
              <w:t xml:space="preserve">Kuna tihedalt asustatud piirkondades avaldavad naastrehvid õhukvaliteedile rohkem negatiivset mõju, </w:t>
            </w:r>
            <w:r w:rsidRPr="00743C5B">
              <w:rPr>
                <w:lang w:val="et-EE"/>
              </w:rPr>
              <w:lastRenderedPageBreak/>
              <w:t>kui hõredamalt asustatud piirkondades, on ettepanek välja töötada meetmed linnalistes piirkondades lamellrehvide kasutamise soodustamiseks ja propageerimiseks.</w:t>
            </w:r>
            <w:r w:rsidR="0033114C">
              <w:rPr>
                <w:lang w:val="et-EE"/>
              </w:rPr>
              <w:t xml:space="preserve"> </w:t>
            </w:r>
            <w:r w:rsidRPr="00743C5B">
              <w:rPr>
                <w:lang w:val="et-EE"/>
              </w:rPr>
              <w:t>Alternatiivina kaaluda kohaliku maksu kehtestamist naastrehvide soetamisel ja selle suunamist teede korrashoiuks.</w:t>
            </w:r>
          </w:p>
        </w:tc>
      </w:tr>
      <w:tr w:rsidR="00A578F7" w:rsidRPr="006D15DA" w14:paraId="1A54AC3B" w14:textId="77777777" w:rsidTr="00E07628">
        <w:tc>
          <w:tcPr>
            <w:tcW w:w="4078" w:type="dxa"/>
            <w:shd w:val="clear" w:color="auto" w:fill="auto"/>
            <w:vAlign w:val="center"/>
          </w:tcPr>
          <w:p w14:paraId="51D2E76C" w14:textId="6AEA9F24" w:rsidR="00953147" w:rsidRPr="001B2ACD" w:rsidRDefault="00953147" w:rsidP="00953147">
            <w:pPr>
              <w:rPr>
                <w:b/>
                <w:bCs/>
                <w:lang w:val="et-EE"/>
              </w:rPr>
            </w:pPr>
            <w:r w:rsidRPr="001B2ACD">
              <w:rPr>
                <w:b/>
                <w:bCs/>
                <w:lang w:val="et-EE"/>
              </w:rPr>
              <w:lastRenderedPageBreak/>
              <w:t xml:space="preserve">Ettepanek </w:t>
            </w:r>
            <w:r w:rsidR="001B2ACD" w:rsidRPr="001B2ACD">
              <w:rPr>
                <w:b/>
                <w:bCs/>
                <w:lang w:val="et-EE"/>
              </w:rPr>
              <w:t>9</w:t>
            </w:r>
          </w:p>
          <w:p w14:paraId="2304FA4B" w14:textId="77777777" w:rsidR="00953147" w:rsidRPr="00953147" w:rsidRDefault="00953147" w:rsidP="00953147">
            <w:pPr>
              <w:rPr>
                <w:lang w:val="et-EE"/>
              </w:rPr>
            </w:pPr>
          </w:p>
          <w:p w14:paraId="5E0CD468" w14:textId="34887837" w:rsidR="00153877" w:rsidRPr="00981D41" w:rsidRDefault="00953147" w:rsidP="00153877">
            <w:pPr>
              <w:rPr>
                <w:lang w:val="et-EE"/>
              </w:rPr>
            </w:pPr>
            <w:r w:rsidRPr="00953147">
              <w:rPr>
                <w:lang w:val="et-EE"/>
              </w:rPr>
              <w:t>Investeeringud ühistransporti</w:t>
            </w:r>
            <w:r w:rsidR="00153877">
              <w:rPr>
                <w:lang w:val="et-EE"/>
              </w:rPr>
              <w:t xml:space="preserve">. </w:t>
            </w:r>
            <w:r w:rsidR="00153877" w:rsidRPr="00981D41">
              <w:rPr>
                <w:lang w:val="et-EE"/>
              </w:rPr>
              <w:t xml:space="preserve"> Alustada riigieelarveliste toetuste eraldamisega investeeringuteks ühistransporti.</w:t>
            </w:r>
          </w:p>
          <w:p w14:paraId="4E7CE2AA" w14:textId="2D3D8C33" w:rsidR="00A578F7" w:rsidRPr="00EB0195" w:rsidRDefault="00A578F7" w:rsidP="00953147">
            <w:pPr>
              <w:rPr>
                <w:lang w:val="et-EE"/>
              </w:rPr>
            </w:pPr>
          </w:p>
        </w:tc>
        <w:tc>
          <w:tcPr>
            <w:tcW w:w="5447" w:type="dxa"/>
            <w:shd w:val="clear" w:color="auto" w:fill="auto"/>
            <w:vAlign w:val="center"/>
          </w:tcPr>
          <w:p w14:paraId="5DD13CF0" w14:textId="77777777" w:rsidR="00981D41" w:rsidRPr="00981D41" w:rsidRDefault="00981D41" w:rsidP="00981D41">
            <w:pPr>
              <w:rPr>
                <w:lang w:val="et-EE"/>
              </w:rPr>
            </w:pPr>
            <w:r w:rsidRPr="00981D41">
              <w:rPr>
                <w:lang w:val="et-EE"/>
              </w:rPr>
              <w:t>Lähtuvalt ühistranspordiseaduse § 24 võib riigieelarves ette näha ühistranspordi sihtotstarbelise toetuse avaliku teenindamise lepingu alusel teostatava liiniveo korraldamiseks, ühissõidukite soetamiseks, ühistranspordi taristu objektide rajamiseks, uuendamiseks või haldamiseks ja ühistranspordiuuringute korraldamiseks.</w:t>
            </w:r>
          </w:p>
          <w:p w14:paraId="3F1BBC6C" w14:textId="77777777" w:rsidR="00981D41" w:rsidRPr="00981D41" w:rsidRDefault="00981D41" w:rsidP="00981D41">
            <w:pPr>
              <w:rPr>
                <w:lang w:val="et-EE"/>
              </w:rPr>
            </w:pPr>
            <w:r w:rsidRPr="00981D41">
              <w:rPr>
                <w:lang w:val="et-EE"/>
              </w:rPr>
              <w:t xml:space="preserve">Liikumisvõimaluste tagamine kõigile elanikele on üleriigiline prioriteet. Kuna Tallinnas elab ja töötab üle kolmandiku Eesti rahvastikust, peaks riigipoolne toetus hõlmama ka investeeringutoetusi ühistranspordile. Seda nii keskkonnasõbralikuma ja liikumisraskustega inimesi arvestava veeremi soetamisel kui ka tugisüsteemide arendamisel (infosüsteemid) ja infrastruktuuri kaasajastamisel (peatuste väljaehitamine sh maakonnaliinidele, </w:t>
            </w:r>
            <w:proofErr w:type="spellStart"/>
            <w:r w:rsidRPr="00981D41">
              <w:rPr>
                <w:lang w:val="et-EE"/>
              </w:rPr>
              <w:t>ümberistumisterminalide</w:t>
            </w:r>
            <w:proofErr w:type="spellEnd"/>
            <w:r w:rsidRPr="00981D41">
              <w:rPr>
                <w:lang w:val="et-EE"/>
              </w:rPr>
              <w:t xml:space="preserve"> rajamine).</w:t>
            </w:r>
          </w:p>
          <w:p w14:paraId="26185107" w14:textId="77777777" w:rsidR="00981D41" w:rsidRPr="00981D41" w:rsidRDefault="00981D41" w:rsidP="00981D41">
            <w:pPr>
              <w:rPr>
                <w:lang w:val="et-EE"/>
              </w:rPr>
            </w:pPr>
          </w:p>
          <w:p w14:paraId="0DE95290" w14:textId="77777777" w:rsidR="00981D41" w:rsidRPr="00981D41" w:rsidRDefault="00981D41" w:rsidP="00981D41">
            <w:pPr>
              <w:rPr>
                <w:lang w:val="et-EE"/>
              </w:rPr>
            </w:pPr>
            <w:r w:rsidRPr="00981D41">
              <w:rPr>
                <w:lang w:val="et-EE"/>
              </w:rPr>
              <w:t xml:space="preserve">ERAA andmetel on Eestis kokku tasulise sõitjate veoloaga 4100 bussi (alates 9st istekohast), millest 700-l bussil puudub kehtiv tehnoülevaatus. Seega kokku aktiivses kasutuses 3400 bussi. Avaliku teeninduse lepingu alusel osutab Eestis teenust ca 630 bussi, millele lisanduksid Tallinna TLT ca 600 bussi. Tänaste busside asendamine uutel tehnoloogiatel põhinevate bussidega (st diiselbussi ja uue bussi hinna vahe kompenseerimine) peaks toimuma järk järgult alustades avaliku ATL lepingu täitmisega seotud bussidest. Täna räägitakse elektriautode kompensatsioonimehhanismist, kuid tunduvalt mõistlikum on investeeringut kasutada bussipargi väljavahetamiseks. Siinkohal tasub meenutada, et kliimapoliitika riiklik </w:t>
            </w:r>
            <w:proofErr w:type="spellStart"/>
            <w:r w:rsidRPr="00981D41">
              <w:rPr>
                <w:lang w:val="et-EE"/>
              </w:rPr>
              <w:t>eesmärk</w:t>
            </w:r>
            <w:proofErr w:type="spellEnd"/>
            <w:r w:rsidRPr="00981D41">
              <w:rPr>
                <w:lang w:val="et-EE"/>
              </w:rPr>
              <w:t xml:space="preserve"> on </w:t>
            </w:r>
            <w:proofErr w:type="spellStart"/>
            <w:r w:rsidRPr="00981D41">
              <w:rPr>
                <w:lang w:val="et-EE"/>
              </w:rPr>
              <w:t>vähendada</w:t>
            </w:r>
            <w:proofErr w:type="spellEnd"/>
            <w:r w:rsidRPr="00981D41">
              <w:rPr>
                <w:lang w:val="et-EE"/>
              </w:rPr>
              <w:t xml:space="preserve"> kasvuhoonegaaside (KHG) heitkoguseid ligi 80% aastaks 2050 (</w:t>
            </w:r>
            <w:proofErr w:type="spellStart"/>
            <w:r w:rsidRPr="00981D41">
              <w:rPr>
                <w:lang w:val="et-EE"/>
              </w:rPr>
              <w:t>võrrelduna</w:t>
            </w:r>
            <w:proofErr w:type="spellEnd"/>
            <w:r w:rsidRPr="00981D41">
              <w:rPr>
                <w:lang w:val="et-EE"/>
              </w:rPr>
              <w:t xml:space="preserve"> baasaastaga 1990).</w:t>
            </w:r>
          </w:p>
          <w:p w14:paraId="28107491" w14:textId="77777777" w:rsidR="00A578F7" w:rsidRPr="00EB0195" w:rsidRDefault="00A578F7" w:rsidP="00A578F7">
            <w:pPr>
              <w:rPr>
                <w:lang w:val="et-EE"/>
              </w:rPr>
            </w:pPr>
          </w:p>
        </w:tc>
      </w:tr>
      <w:tr w:rsidR="00A578F7" w:rsidRPr="006D15DA" w14:paraId="20BF92DD" w14:textId="77777777" w:rsidTr="00E07628">
        <w:tc>
          <w:tcPr>
            <w:tcW w:w="4078" w:type="dxa"/>
            <w:shd w:val="clear" w:color="auto" w:fill="auto"/>
            <w:vAlign w:val="center"/>
          </w:tcPr>
          <w:p w14:paraId="7F169B88" w14:textId="17CE9773" w:rsidR="005E60B3" w:rsidRDefault="00F47943" w:rsidP="005E60B3">
            <w:pPr>
              <w:rPr>
                <w:b/>
                <w:bCs/>
                <w:lang w:val="et-EE"/>
              </w:rPr>
            </w:pPr>
            <w:r>
              <w:rPr>
                <w:b/>
                <w:bCs/>
                <w:lang w:val="et-EE"/>
              </w:rPr>
              <w:t>Ettepanek 10</w:t>
            </w:r>
            <w:r w:rsidR="00354E94">
              <w:rPr>
                <w:b/>
                <w:bCs/>
                <w:lang w:val="et-EE"/>
              </w:rPr>
              <w:t xml:space="preserve"> </w:t>
            </w:r>
          </w:p>
          <w:p w14:paraId="6B94CEBF" w14:textId="77777777" w:rsidR="0056071E" w:rsidRPr="001B2ACD" w:rsidRDefault="0056071E" w:rsidP="005E60B3">
            <w:pPr>
              <w:rPr>
                <w:b/>
                <w:bCs/>
                <w:lang w:val="et-EE"/>
              </w:rPr>
            </w:pPr>
          </w:p>
          <w:p w14:paraId="4A86EC04" w14:textId="081B6AF5" w:rsidR="00A578F7" w:rsidRPr="00EB0195" w:rsidRDefault="005E60B3" w:rsidP="005E60B3">
            <w:pPr>
              <w:rPr>
                <w:lang w:val="et-EE"/>
              </w:rPr>
            </w:pPr>
            <w:r w:rsidRPr="005E60B3">
              <w:rPr>
                <w:lang w:val="et-EE"/>
              </w:rPr>
              <w:t>Aegna laevaliini riigi poolse toetuse tagamine</w:t>
            </w:r>
          </w:p>
        </w:tc>
        <w:tc>
          <w:tcPr>
            <w:tcW w:w="5447" w:type="dxa"/>
            <w:shd w:val="clear" w:color="auto" w:fill="auto"/>
            <w:vAlign w:val="center"/>
          </w:tcPr>
          <w:p w14:paraId="3519257A" w14:textId="201854D0" w:rsidR="00A578F7" w:rsidRPr="00EB0195" w:rsidRDefault="00F01D62" w:rsidP="00A578F7">
            <w:pPr>
              <w:rPr>
                <w:lang w:val="et-EE"/>
              </w:rPr>
            </w:pPr>
            <w:r w:rsidRPr="00F01D62">
              <w:rPr>
                <w:lang w:val="et-EE"/>
              </w:rPr>
              <w:t xml:space="preserve">Alates 2015. Aastast on Aegna laevaliini ülalpidamine olnud täies mahus Tallinna kanda, sõltumata asjaolust, et kehtima hakanud muudatustega keelustati erimärgistusega kütuse kasutamine ehk kütusehinnale lisandus aktsiis. Kuna riik on seadnud eesmärgiks läbi transpordidotatsiooni elavdada elutegevust saartel, siis tuleks seda ette näha ka Aegna saare ühenduse puhul. Kuigi riigi seisukoht on, et Ühistranspordi seadus ei </w:t>
            </w:r>
            <w:r w:rsidRPr="00F01D62">
              <w:rPr>
                <w:lang w:val="et-EE"/>
              </w:rPr>
              <w:lastRenderedPageBreak/>
              <w:t>kohusta omavalitsust pidama väike-saartega püsiühendusega laevaliini, ei ole see ligipääsetavuse osas aktsepteeritav</w:t>
            </w:r>
          </w:p>
        </w:tc>
      </w:tr>
      <w:tr w:rsidR="00A578F7" w:rsidRPr="006D15DA" w14:paraId="43D2BF4B" w14:textId="77777777" w:rsidTr="00E07628">
        <w:tc>
          <w:tcPr>
            <w:tcW w:w="4078" w:type="dxa"/>
            <w:shd w:val="clear" w:color="auto" w:fill="auto"/>
            <w:vAlign w:val="center"/>
          </w:tcPr>
          <w:p w14:paraId="78F3CF0B" w14:textId="46CC6987" w:rsidR="00DF7EB4" w:rsidRDefault="00DF7EB4" w:rsidP="00A578F7">
            <w:pPr>
              <w:rPr>
                <w:b/>
                <w:bCs/>
                <w:lang w:val="et-EE"/>
              </w:rPr>
            </w:pPr>
            <w:r w:rsidRPr="00354E94">
              <w:rPr>
                <w:b/>
                <w:bCs/>
                <w:lang w:val="et-EE"/>
              </w:rPr>
              <w:lastRenderedPageBreak/>
              <w:t>Ettepane</w:t>
            </w:r>
            <w:r w:rsidR="00D005CF" w:rsidRPr="00354E94">
              <w:rPr>
                <w:b/>
                <w:bCs/>
                <w:lang w:val="et-EE"/>
              </w:rPr>
              <w:t>k</w:t>
            </w:r>
            <w:r w:rsidR="00354E94" w:rsidRPr="00354E94">
              <w:rPr>
                <w:b/>
                <w:bCs/>
                <w:lang w:val="et-EE"/>
              </w:rPr>
              <w:t xml:space="preserve"> 11</w:t>
            </w:r>
          </w:p>
          <w:p w14:paraId="2AF92880" w14:textId="77777777" w:rsidR="0056071E" w:rsidRPr="00354E94" w:rsidRDefault="0056071E" w:rsidP="00A578F7">
            <w:pPr>
              <w:rPr>
                <w:b/>
                <w:bCs/>
                <w:lang w:val="et-EE"/>
              </w:rPr>
            </w:pPr>
          </w:p>
          <w:p w14:paraId="55FE9ACA" w14:textId="05D2898E" w:rsidR="00A578F7" w:rsidRPr="00EB0195" w:rsidRDefault="00DF7EB4" w:rsidP="00A578F7">
            <w:pPr>
              <w:rPr>
                <w:lang w:val="et-EE"/>
              </w:rPr>
            </w:pPr>
            <w:r w:rsidRPr="00DF7EB4">
              <w:rPr>
                <w:lang w:val="et-EE"/>
              </w:rPr>
              <w:t>Riigipoolse toetuse tagamine Tallinna ühtse piletisüsteemi piiriüleste liinide teenindamise kulude katmisel</w:t>
            </w:r>
          </w:p>
        </w:tc>
        <w:tc>
          <w:tcPr>
            <w:tcW w:w="5447" w:type="dxa"/>
            <w:shd w:val="clear" w:color="auto" w:fill="auto"/>
            <w:vAlign w:val="center"/>
          </w:tcPr>
          <w:p w14:paraId="3640EC32" w14:textId="77777777" w:rsidR="004930D1" w:rsidRPr="004930D1" w:rsidRDefault="004930D1" w:rsidP="004930D1">
            <w:pPr>
              <w:rPr>
                <w:lang w:val="et-EE"/>
              </w:rPr>
            </w:pPr>
            <w:r w:rsidRPr="004930D1">
              <w:rPr>
                <w:lang w:val="et-EE"/>
              </w:rPr>
              <w:t xml:space="preserve">Hetkel on endiselt lahtised linna </w:t>
            </w:r>
            <w:proofErr w:type="spellStart"/>
            <w:r w:rsidRPr="004930D1">
              <w:rPr>
                <w:lang w:val="et-EE"/>
              </w:rPr>
              <w:t>lähipiirkonna</w:t>
            </w:r>
            <w:proofErr w:type="spellEnd"/>
            <w:r w:rsidRPr="004930D1">
              <w:rPr>
                <w:lang w:val="et-EE"/>
              </w:rPr>
              <w:t xml:space="preserve"> teenindamise rahastamise põhimõtted kuna riigipoolse seisukoha osas selles küsimuses  ei ole tulevikuks kindlust.</w:t>
            </w:r>
          </w:p>
          <w:p w14:paraId="73B21653" w14:textId="77777777" w:rsidR="004930D1" w:rsidRPr="004930D1" w:rsidRDefault="004930D1" w:rsidP="004930D1">
            <w:pPr>
              <w:rPr>
                <w:lang w:val="et-EE"/>
              </w:rPr>
            </w:pPr>
          </w:p>
          <w:p w14:paraId="120F5807" w14:textId="77777777" w:rsidR="004930D1" w:rsidRPr="004930D1" w:rsidRDefault="004930D1" w:rsidP="004930D1">
            <w:pPr>
              <w:rPr>
                <w:lang w:val="et-EE"/>
              </w:rPr>
            </w:pPr>
            <w:r w:rsidRPr="004930D1">
              <w:rPr>
                <w:lang w:val="et-EE"/>
              </w:rPr>
              <w:t>Ca 4 aastat on riigi toetus üle linna administratiivpiiri sõitvate liinide km-</w:t>
            </w:r>
            <w:proofErr w:type="spellStart"/>
            <w:r w:rsidRPr="004930D1">
              <w:rPr>
                <w:lang w:val="et-EE"/>
              </w:rPr>
              <w:t>le</w:t>
            </w:r>
            <w:proofErr w:type="spellEnd"/>
            <w:r w:rsidRPr="004930D1">
              <w:rPr>
                <w:lang w:val="et-EE"/>
              </w:rPr>
              <w:t xml:space="preserve"> 0,59 senti. Kuigi ÜTK korrigeerib ATL lepingute alusel toimuva liiniveo tariife 2 korda aastas, siis linnaliinidele korrigeerimist ette ei nähta. Tegemist on ebavõrdse olukorraga ja täiendavad kulud tuleb katta Tallinnal ja naaber </w:t>
            </w:r>
            <w:proofErr w:type="spellStart"/>
            <w:r w:rsidRPr="004930D1">
              <w:rPr>
                <w:lang w:val="et-EE"/>
              </w:rPr>
              <w:t>KOVil</w:t>
            </w:r>
            <w:proofErr w:type="spellEnd"/>
            <w:r w:rsidRPr="004930D1">
              <w:rPr>
                <w:lang w:val="et-EE"/>
              </w:rPr>
              <w:t>, mis on omavalitsustele täiendavaks finantskoormuseks.</w:t>
            </w:r>
          </w:p>
          <w:p w14:paraId="23851711" w14:textId="77777777" w:rsidR="00A578F7" w:rsidRPr="00EB0195" w:rsidRDefault="00A578F7" w:rsidP="00A578F7">
            <w:pPr>
              <w:rPr>
                <w:lang w:val="et-EE"/>
              </w:rPr>
            </w:pPr>
          </w:p>
        </w:tc>
      </w:tr>
      <w:tr w:rsidR="00A578F7" w:rsidRPr="006D15DA" w14:paraId="6C2824AE" w14:textId="77777777" w:rsidTr="00E07628">
        <w:tc>
          <w:tcPr>
            <w:tcW w:w="4078" w:type="dxa"/>
            <w:shd w:val="clear" w:color="auto" w:fill="auto"/>
            <w:vAlign w:val="center"/>
          </w:tcPr>
          <w:p w14:paraId="5F5B6551" w14:textId="339382C7" w:rsidR="00236144" w:rsidRDefault="00236144" w:rsidP="00236144">
            <w:pPr>
              <w:rPr>
                <w:b/>
                <w:bCs/>
                <w:lang w:val="et-EE"/>
              </w:rPr>
            </w:pPr>
            <w:r w:rsidRPr="00354E94">
              <w:rPr>
                <w:b/>
                <w:bCs/>
                <w:lang w:val="et-EE"/>
              </w:rPr>
              <w:t xml:space="preserve">Ettepanek </w:t>
            </w:r>
            <w:r w:rsidR="00354E94" w:rsidRPr="00354E94">
              <w:rPr>
                <w:b/>
                <w:bCs/>
                <w:lang w:val="et-EE"/>
              </w:rPr>
              <w:t>12</w:t>
            </w:r>
          </w:p>
          <w:p w14:paraId="3D0CE2B0" w14:textId="77777777" w:rsidR="0056071E" w:rsidRPr="00354E94" w:rsidRDefault="0056071E" w:rsidP="00236144">
            <w:pPr>
              <w:rPr>
                <w:b/>
                <w:bCs/>
                <w:lang w:val="et-EE"/>
              </w:rPr>
            </w:pPr>
          </w:p>
          <w:p w14:paraId="2098A4C6" w14:textId="5DCCA433" w:rsidR="00A578F7" w:rsidRPr="00EB0195" w:rsidRDefault="00236144" w:rsidP="00236144">
            <w:pPr>
              <w:rPr>
                <w:lang w:val="et-EE"/>
              </w:rPr>
            </w:pPr>
            <w:r w:rsidRPr="00236144">
              <w:rPr>
                <w:lang w:val="et-EE"/>
              </w:rPr>
              <w:t>Kehtestada ühistranspordi teenuse osutajatele madalam aktsiisimäär või luua kompensatsioonimehhanism aktsiisitasude kulude katmiseks ühistranspordi teenuse osutajatele</w:t>
            </w:r>
          </w:p>
        </w:tc>
        <w:tc>
          <w:tcPr>
            <w:tcW w:w="5447" w:type="dxa"/>
            <w:shd w:val="clear" w:color="auto" w:fill="auto"/>
            <w:vAlign w:val="center"/>
          </w:tcPr>
          <w:p w14:paraId="7953AEAE" w14:textId="77777777" w:rsidR="00ED5F01" w:rsidRPr="00ED5F01" w:rsidRDefault="00ED5F01" w:rsidP="00ED5F01">
            <w:pPr>
              <w:rPr>
                <w:lang w:val="et-EE"/>
              </w:rPr>
            </w:pPr>
            <w:r w:rsidRPr="00ED5F01">
              <w:rPr>
                <w:lang w:val="et-EE"/>
              </w:rPr>
              <w:t>Riigi poolsed otsused kütuseaktsiisi järkjärgulisest tõstmisest mõjutavad oluliselt ühistransporditeenuse kallinemist, mille peab katma kas ühistranspordi tellija või sõitja. Transpordi arengukava 2014 – 2020 meetmes 1.3 (Säästlikuma liikumisviisi eelistamine) seatud eesmärkide saavutamiseks on väga oluline ühistranspordi eelisarendamine eesmärgiga vähendada erasõidukite kasutamise vajadust ning liiklusega kaasnevaid negatiivseid keskkonnamõjusid.</w:t>
            </w:r>
          </w:p>
          <w:p w14:paraId="1AF60B9C" w14:textId="1A612FF1" w:rsidR="00A578F7" w:rsidRPr="00EB0195" w:rsidRDefault="00ED5F01" w:rsidP="00ED5F01">
            <w:pPr>
              <w:rPr>
                <w:lang w:val="et-EE"/>
              </w:rPr>
            </w:pPr>
            <w:r w:rsidRPr="00ED5F01">
              <w:rPr>
                <w:lang w:val="et-EE"/>
              </w:rPr>
              <w:t>Kütuse aktsiisist tuleneva hinna kallinemine seab ühistranspordi eelisarendamise raskesse olukorda ning sellest tulenevalt võivad ka arengukava eesmärgid täitmata jääda. Ja mis kõige olulisem, mõjutab see otseselt elanikkonna gruppi (ühistranspordikasutajaid), kes kasutavad keskkonnasäästlikku liikumisviisi.</w:t>
            </w:r>
          </w:p>
        </w:tc>
      </w:tr>
      <w:tr w:rsidR="00A578F7" w:rsidRPr="006D15DA" w14:paraId="426339E3" w14:textId="77777777" w:rsidTr="00E07628">
        <w:tc>
          <w:tcPr>
            <w:tcW w:w="4078" w:type="dxa"/>
            <w:shd w:val="clear" w:color="auto" w:fill="auto"/>
            <w:vAlign w:val="center"/>
          </w:tcPr>
          <w:p w14:paraId="1FBE8B53" w14:textId="32613DF9" w:rsidR="00B75638" w:rsidRDefault="00B75638" w:rsidP="00B75638">
            <w:pPr>
              <w:rPr>
                <w:b/>
                <w:bCs/>
                <w:lang w:val="et-EE"/>
              </w:rPr>
            </w:pPr>
            <w:r w:rsidRPr="00354E94">
              <w:rPr>
                <w:b/>
                <w:bCs/>
                <w:lang w:val="et-EE"/>
              </w:rPr>
              <w:t xml:space="preserve">Ettepanek </w:t>
            </w:r>
            <w:r w:rsidR="00354E94" w:rsidRPr="00354E94">
              <w:rPr>
                <w:b/>
                <w:bCs/>
                <w:lang w:val="et-EE"/>
              </w:rPr>
              <w:t>13</w:t>
            </w:r>
          </w:p>
          <w:p w14:paraId="57935099" w14:textId="77777777" w:rsidR="0056071E" w:rsidRPr="00354E94" w:rsidRDefault="0056071E" w:rsidP="00B75638">
            <w:pPr>
              <w:rPr>
                <w:b/>
                <w:bCs/>
                <w:lang w:val="et-EE"/>
              </w:rPr>
            </w:pPr>
          </w:p>
          <w:p w14:paraId="5874BD91" w14:textId="779E1FA5" w:rsidR="00A578F7" w:rsidRPr="00EB0195" w:rsidRDefault="00E06826" w:rsidP="00B75638">
            <w:pPr>
              <w:rPr>
                <w:lang w:val="et-EE"/>
              </w:rPr>
            </w:pPr>
            <w:r>
              <w:rPr>
                <w:lang w:val="et-EE"/>
              </w:rPr>
              <w:t>S</w:t>
            </w:r>
            <w:r w:rsidR="00B75638" w:rsidRPr="00B75638">
              <w:rPr>
                <w:lang w:val="et-EE"/>
              </w:rPr>
              <w:t>uurema</w:t>
            </w:r>
            <w:r w:rsidR="00CA407E">
              <w:rPr>
                <w:lang w:val="et-EE"/>
              </w:rPr>
              <w:t xml:space="preserve">te </w:t>
            </w:r>
            <w:r w:rsidR="00B75638" w:rsidRPr="00B75638">
              <w:rPr>
                <w:lang w:val="et-EE"/>
              </w:rPr>
              <w:t>õigus</w:t>
            </w:r>
            <w:r w:rsidR="00CA407E">
              <w:rPr>
                <w:lang w:val="et-EE"/>
              </w:rPr>
              <w:t xml:space="preserve">te andmine </w:t>
            </w:r>
            <w:proofErr w:type="spellStart"/>
            <w:r w:rsidRPr="00B75638">
              <w:rPr>
                <w:lang w:val="et-EE"/>
              </w:rPr>
              <w:t>KOVidele</w:t>
            </w:r>
            <w:proofErr w:type="spellEnd"/>
            <w:r w:rsidRPr="00B75638">
              <w:rPr>
                <w:lang w:val="et-EE"/>
              </w:rPr>
              <w:t xml:space="preserve"> </w:t>
            </w:r>
            <w:r w:rsidR="00B75638" w:rsidRPr="00B75638">
              <w:rPr>
                <w:lang w:val="et-EE"/>
              </w:rPr>
              <w:t>automaatse liiklusjärelevalve teostamisel</w:t>
            </w:r>
          </w:p>
        </w:tc>
        <w:tc>
          <w:tcPr>
            <w:tcW w:w="5447" w:type="dxa"/>
            <w:shd w:val="clear" w:color="auto" w:fill="auto"/>
            <w:vAlign w:val="center"/>
          </w:tcPr>
          <w:p w14:paraId="51FB0359" w14:textId="65C9D38A" w:rsidR="00740A94" w:rsidRPr="00740A94" w:rsidRDefault="00740A94" w:rsidP="00740A94">
            <w:pPr>
              <w:rPr>
                <w:lang w:val="et-EE"/>
              </w:rPr>
            </w:pPr>
            <w:r w:rsidRPr="00740A94">
              <w:rPr>
                <w:lang w:val="et-EE"/>
              </w:rPr>
              <w:t xml:space="preserve">Kavandada automaatse liiklusjärelevalve teostamise võimalus nii kiiruse ületamise, ühistranspordiradade kasutamise kui ka mootorsõidukite keelualasse sissesõitmisel, kuna mehitatud liiklusjärelevalve ressurss ei ole piisav ja anda selliste rikkumiste menetlemise õigus </w:t>
            </w:r>
            <w:proofErr w:type="spellStart"/>
            <w:r w:rsidRPr="00740A94">
              <w:rPr>
                <w:lang w:val="et-EE"/>
              </w:rPr>
              <w:t>KOVidele</w:t>
            </w:r>
            <w:proofErr w:type="spellEnd"/>
            <w:r w:rsidRPr="00740A94">
              <w:rPr>
                <w:lang w:val="et-EE"/>
              </w:rPr>
              <w:t>.</w:t>
            </w:r>
            <w:r w:rsidR="00935B4C">
              <w:rPr>
                <w:lang w:val="et-EE"/>
              </w:rPr>
              <w:t xml:space="preserve"> </w:t>
            </w:r>
            <w:r w:rsidRPr="00740A94">
              <w:rPr>
                <w:lang w:val="et-EE"/>
              </w:rPr>
              <w:t>Sõiduautode arvu suurenemisest ja politseiressursi haldussuutlikkuse piiratusest tuleneva liiklusjärelevalve puudumisest on Tallinna linnas juba aastaid vajadus automaatsete liiklusjärelevalveseadmete järele. Paraku puudub riigil aga huvi taoliste seadmete järele, Tallinna linnal aga ei võimalda õiguslik raamistik teostada</w:t>
            </w:r>
            <w:r w:rsidR="00C7306C">
              <w:rPr>
                <w:lang w:val="et-EE"/>
              </w:rPr>
              <w:t xml:space="preserve"> </w:t>
            </w:r>
            <w:r w:rsidR="00935B4C">
              <w:rPr>
                <w:lang w:val="et-EE"/>
              </w:rPr>
              <w:t>l</w:t>
            </w:r>
            <w:r w:rsidRPr="00740A94">
              <w:rPr>
                <w:lang w:val="et-EE"/>
              </w:rPr>
              <w:t xml:space="preserve">iiklusjärelevalvet. Seetõttu on Tallinna linn jätkuvalt huvitatud liiklusseaduse (LS)  muutmisest moel, mis võimaldaks Tallinna linnal kõrvuti politseiga teostada liiklusjärelevalvet parandamaks liikluskorda Eesti tihedama liiklusega linnas. </w:t>
            </w:r>
          </w:p>
          <w:p w14:paraId="25BC40A7" w14:textId="77777777" w:rsidR="00740A94" w:rsidRPr="00740A94" w:rsidRDefault="00740A94" w:rsidP="00740A94">
            <w:pPr>
              <w:rPr>
                <w:lang w:val="et-EE"/>
              </w:rPr>
            </w:pPr>
            <w:r w:rsidRPr="00740A94">
              <w:rPr>
                <w:lang w:val="et-EE"/>
              </w:rPr>
              <w:t xml:space="preserve">LS § 193 lg 1 kohaselt on liiklusjärelevalve teostamise </w:t>
            </w:r>
            <w:r w:rsidRPr="00740A94">
              <w:rPr>
                <w:lang w:val="et-EE"/>
              </w:rPr>
              <w:lastRenderedPageBreak/>
              <w:t xml:space="preserve">pädevus kohalikul omavalitsusel (linna- või vallavalitsusel) üksnes peatumise ja parkimise nõuete üle kohaliku omavalitsusüksuse territooriumil. Tallinna linn teeb ettepaneku muuta LS § 193 lg 1 ja sõnastada see selliselt, et valla- või linnavalitsus omab õigust teostada liiklusjärelevalvet lisaks peatumise ja parkimise nõuete üle ka muude liiklusseaduse nõuete täitmise üle LS § 199 lg 1 p-s 4 täheldatud liiklusjärelevalveseadmega. </w:t>
            </w:r>
          </w:p>
          <w:p w14:paraId="42091FE8" w14:textId="77777777" w:rsidR="00740A94" w:rsidRPr="00740A94" w:rsidRDefault="00740A94" w:rsidP="00740A94">
            <w:pPr>
              <w:rPr>
                <w:lang w:val="et-EE"/>
              </w:rPr>
            </w:pPr>
            <w:r w:rsidRPr="00740A94">
              <w:rPr>
                <w:lang w:val="et-EE"/>
              </w:rPr>
              <w:t>LS §-s 262 loetletakse üles liiklusseaduse rikkumised, millised on tuvastatavad automaatsete liiklusjärelevalveseadmetega. Kaasaegsed liiklusjärelevalveseadmed võimaldavad muuhulgas tuvastada ka keelumärgi nõuete rikkujaid ja vajadus reageerida taolistele rikkumistele on ka olemas, kui tuua näiteks Tallinna vanalinna jalakäijate alal sõitvate keelumärke eiravate mootorsõidukite arv, mis tuvastatakse politsei poolt aegajalt läbiviidavate kontrollreidide käigus. Normitehniliselt eeldab keelumärgi eiramine eraldi väärteokoosseisu kehtestamist.</w:t>
            </w:r>
          </w:p>
          <w:p w14:paraId="7319EDEE" w14:textId="77777777" w:rsidR="00740A94" w:rsidRPr="00740A94" w:rsidRDefault="00740A94" w:rsidP="00740A94">
            <w:pPr>
              <w:rPr>
                <w:lang w:val="et-EE"/>
              </w:rPr>
            </w:pPr>
            <w:r w:rsidRPr="00740A94">
              <w:rPr>
                <w:lang w:val="et-EE"/>
              </w:rPr>
              <w:t xml:space="preserve">Statsionaarse automaatse liiklusjärelevalvesüsteemiga tuvastatud väärtegude </w:t>
            </w:r>
            <w:proofErr w:type="spellStart"/>
            <w:r w:rsidRPr="00740A94">
              <w:rPr>
                <w:lang w:val="et-EE"/>
              </w:rPr>
              <w:t>menetlejaks</w:t>
            </w:r>
            <w:proofErr w:type="spellEnd"/>
            <w:r w:rsidRPr="00740A94">
              <w:rPr>
                <w:lang w:val="et-EE"/>
              </w:rPr>
              <w:t xml:space="preserve"> on LS § 263 kohaselt jätkuvalt üksnes riik. LS § 263 lg 2 loetleb üles väärteod, mida saab menetleda kohalik omavalitsus – need on   parkimine keelatud kohas (LS§ 241) ja mootorsõiduki omaniku või vastutava kasutaja kohustuse rikkumine (LS § 261). Tallinna linn teeb ettepaneku muuta § 263 lg 2 teksti, mille kohaselt oleks lisaks LS §-des 241  ja 261 ka 221.  LS §-s 221 sätestatud väärteo (juhi poolt ristmikule või jalakäijate ülekäigurajale sõitmine foori keelava tule ajal) ja keelumärgi eiramise väärteokoosseisu kohtuväline </w:t>
            </w:r>
            <w:proofErr w:type="spellStart"/>
            <w:r w:rsidRPr="00740A94">
              <w:rPr>
                <w:lang w:val="et-EE"/>
              </w:rPr>
              <w:t>menetleja</w:t>
            </w:r>
            <w:proofErr w:type="spellEnd"/>
            <w:r w:rsidRPr="00740A94">
              <w:rPr>
                <w:lang w:val="et-EE"/>
              </w:rPr>
              <w:t xml:space="preserve"> ka valla- või linnavalitsus.</w:t>
            </w:r>
          </w:p>
          <w:p w14:paraId="44C9BDD2" w14:textId="77777777" w:rsidR="00740A94" w:rsidRPr="00740A94" w:rsidRDefault="00740A94" w:rsidP="00740A94">
            <w:pPr>
              <w:rPr>
                <w:lang w:val="et-EE"/>
              </w:rPr>
            </w:pPr>
            <w:r w:rsidRPr="00740A94">
              <w:rPr>
                <w:lang w:val="et-EE"/>
              </w:rPr>
              <w:t xml:space="preserve">Väärteomenetluse seadustiku §-le 2121 kohaselt laekuvad väärteokaristustena mõistetud hoiatustrahvid riigieelarvesse ja linna või valla eelarvesse üksnes juhul, kui väärteo </w:t>
            </w:r>
            <w:proofErr w:type="spellStart"/>
            <w:r w:rsidRPr="00740A94">
              <w:rPr>
                <w:lang w:val="et-EE"/>
              </w:rPr>
              <w:t>menetleja</w:t>
            </w:r>
            <w:proofErr w:type="spellEnd"/>
            <w:r w:rsidRPr="00740A94">
              <w:rPr>
                <w:lang w:val="et-EE"/>
              </w:rPr>
              <w:t xml:space="preserve"> on kohalik omavalitsus.  Seega tagaks rahatrahvidena kohaliku omavalitsuse eelarvesse laekuv raha ka Tallinna linnas asuvate automaatsete liiklusjärelevalvesüsteemide korrashoiu ja edasiarenduse võimalused.</w:t>
            </w:r>
          </w:p>
          <w:p w14:paraId="1199551F" w14:textId="77777777" w:rsidR="00A578F7" w:rsidRPr="00EB0195" w:rsidRDefault="00A578F7" w:rsidP="00A578F7">
            <w:pPr>
              <w:rPr>
                <w:lang w:val="et-EE"/>
              </w:rPr>
            </w:pPr>
          </w:p>
        </w:tc>
      </w:tr>
      <w:tr w:rsidR="00A578F7" w:rsidRPr="006D15DA" w14:paraId="1496B0B6" w14:textId="77777777" w:rsidTr="00E07628">
        <w:tc>
          <w:tcPr>
            <w:tcW w:w="4078" w:type="dxa"/>
            <w:shd w:val="clear" w:color="auto" w:fill="auto"/>
            <w:vAlign w:val="center"/>
          </w:tcPr>
          <w:p w14:paraId="04A27FC3" w14:textId="77777777" w:rsidR="00D562F9" w:rsidRDefault="00D562F9" w:rsidP="0085642E">
            <w:pPr>
              <w:rPr>
                <w:b/>
                <w:bCs/>
                <w:lang w:val="et-EE"/>
              </w:rPr>
            </w:pPr>
          </w:p>
          <w:p w14:paraId="2E272C63" w14:textId="3B353E44" w:rsidR="001D2F50" w:rsidRDefault="001D2F50" w:rsidP="0085642E">
            <w:pPr>
              <w:rPr>
                <w:b/>
                <w:bCs/>
                <w:lang w:val="et-EE"/>
              </w:rPr>
            </w:pPr>
            <w:r w:rsidRPr="00354E94">
              <w:rPr>
                <w:b/>
                <w:bCs/>
                <w:lang w:val="et-EE"/>
              </w:rPr>
              <w:t xml:space="preserve">Ettepanek  </w:t>
            </w:r>
            <w:r w:rsidR="00354E94" w:rsidRPr="00354E94">
              <w:rPr>
                <w:b/>
                <w:bCs/>
                <w:lang w:val="et-EE"/>
              </w:rPr>
              <w:t>14</w:t>
            </w:r>
          </w:p>
          <w:p w14:paraId="7CCD2B7A" w14:textId="77777777" w:rsidR="0056071E" w:rsidRPr="00354E94" w:rsidRDefault="0056071E" w:rsidP="0085642E">
            <w:pPr>
              <w:rPr>
                <w:b/>
                <w:bCs/>
                <w:lang w:val="et-EE"/>
              </w:rPr>
            </w:pPr>
          </w:p>
          <w:p w14:paraId="4B411661" w14:textId="431D2BE6" w:rsidR="00A578F7" w:rsidRPr="00EB0195" w:rsidRDefault="001D2F50" w:rsidP="0085642E">
            <w:pPr>
              <w:rPr>
                <w:lang w:val="et-EE"/>
              </w:rPr>
            </w:pPr>
            <w:r w:rsidRPr="001D2F50">
              <w:rPr>
                <w:lang w:val="et-EE"/>
              </w:rPr>
              <w:t>Andmete saamine riigi registritest</w:t>
            </w:r>
            <w:r w:rsidR="00D563DD">
              <w:rPr>
                <w:lang w:val="et-EE"/>
              </w:rPr>
              <w:t xml:space="preserve"> </w:t>
            </w:r>
            <w:r w:rsidR="005A0BFB" w:rsidRPr="007B2DA7">
              <w:rPr>
                <w:lang w:val="et-EE"/>
              </w:rPr>
              <w:t xml:space="preserve">liikumisvajaduste väljaselgitamiseks ja </w:t>
            </w:r>
            <w:proofErr w:type="spellStart"/>
            <w:r w:rsidR="005A0BFB" w:rsidRPr="007B2DA7">
              <w:rPr>
                <w:lang w:val="et-EE"/>
              </w:rPr>
              <w:t>KOVidele</w:t>
            </w:r>
            <w:proofErr w:type="spellEnd"/>
            <w:r w:rsidR="005A0BFB" w:rsidRPr="007B2DA7">
              <w:rPr>
                <w:lang w:val="et-EE"/>
              </w:rPr>
              <w:t xml:space="preserve"> pandud ülesannete täitmiseks </w:t>
            </w:r>
            <w:r w:rsidR="00FE5568" w:rsidRPr="00D563DD">
              <w:rPr>
                <w:i/>
                <w:iCs/>
                <w:lang w:val="et-EE"/>
              </w:rPr>
              <w:t xml:space="preserve">(anonüümsed andmed elu ja töökohtade </w:t>
            </w:r>
            <w:r w:rsidR="00FE5568" w:rsidRPr="00D563DD">
              <w:rPr>
                <w:i/>
                <w:iCs/>
                <w:lang w:val="et-EE"/>
              </w:rPr>
              <w:lastRenderedPageBreak/>
              <w:t>vahelistest seostest</w:t>
            </w:r>
            <w:r w:rsidR="00347632">
              <w:rPr>
                <w:i/>
                <w:iCs/>
                <w:lang w:val="et-EE"/>
              </w:rPr>
              <w:t xml:space="preserve">, </w:t>
            </w:r>
            <w:r w:rsidR="005A0BFB" w:rsidRPr="00FE5568">
              <w:rPr>
                <w:i/>
                <w:iCs/>
                <w:lang w:val="et-EE"/>
              </w:rPr>
              <w:t>puudega isikute parkimiskaartide järelevalve läbiviimiseks, kuna nimetatud parkimiskaarte kasutatakse pahatahtlikult ning mitte sihipäraselt)</w:t>
            </w:r>
            <w:r w:rsidR="005A0BFB" w:rsidRPr="007B2DA7">
              <w:rPr>
                <w:lang w:val="et-EE"/>
              </w:rPr>
              <w:t xml:space="preserve"> </w:t>
            </w:r>
          </w:p>
        </w:tc>
        <w:tc>
          <w:tcPr>
            <w:tcW w:w="5447" w:type="dxa"/>
            <w:shd w:val="clear" w:color="auto" w:fill="auto"/>
            <w:vAlign w:val="center"/>
          </w:tcPr>
          <w:p w14:paraId="32B8E29F" w14:textId="77777777" w:rsidR="007B2DA7" w:rsidRPr="007B2DA7" w:rsidRDefault="007B2DA7" w:rsidP="007B2DA7">
            <w:pPr>
              <w:rPr>
                <w:lang w:val="et-EE"/>
              </w:rPr>
            </w:pPr>
            <w:r w:rsidRPr="007B2DA7">
              <w:rPr>
                <w:lang w:val="et-EE"/>
              </w:rPr>
              <w:lastRenderedPageBreak/>
              <w:t xml:space="preserve">Täna kahjuks andmed </w:t>
            </w:r>
            <w:proofErr w:type="spellStart"/>
            <w:r w:rsidRPr="007B2DA7">
              <w:rPr>
                <w:lang w:val="et-EE"/>
              </w:rPr>
              <w:t>KOVidele</w:t>
            </w:r>
            <w:proofErr w:type="spellEnd"/>
            <w:r w:rsidRPr="007B2DA7">
              <w:rPr>
                <w:lang w:val="et-EE"/>
              </w:rPr>
              <w:t xml:space="preserve"> kättesaadavad ei ole.</w:t>
            </w:r>
          </w:p>
          <w:p w14:paraId="79DAB65D" w14:textId="77777777" w:rsidR="007B2DA7" w:rsidRPr="007B2DA7" w:rsidRDefault="007B2DA7" w:rsidP="007B2DA7">
            <w:pPr>
              <w:rPr>
                <w:lang w:val="et-EE"/>
              </w:rPr>
            </w:pPr>
            <w:r w:rsidRPr="007B2DA7">
              <w:rPr>
                <w:lang w:val="et-EE"/>
              </w:rPr>
              <w:t>Antud punkti esialgne sisu oli planeerimistegevuse hõlbustamiseks saada andmed inimeste töö ja elukohtade vahelistest seostest. Andmed on vajalikud kõigile omavalitsustele. Käesoleval aastal lubati hakata ka täpsustama inimeste tegelikku töökohta (</w:t>
            </w:r>
            <w:r w:rsidRPr="00497B8A">
              <w:rPr>
                <w:i/>
                <w:iCs/>
                <w:lang w:val="et-EE"/>
              </w:rPr>
              <w:t>varasemalt oli teave tööandja asukohast</w:t>
            </w:r>
            <w:r w:rsidRPr="007B2DA7">
              <w:rPr>
                <w:lang w:val="et-EE"/>
              </w:rPr>
              <w:t xml:space="preserve">). Viimase info kohaselt on </w:t>
            </w:r>
            <w:r w:rsidRPr="007B2DA7">
              <w:rPr>
                <w:lang w:val="et-EE"/>
              </w:rPr>
              <w:lastRenderedPageBreak/>
              <w:t xml:space="preserve">EMTA töökoha aadressid korrigeerinud. Statistikaamet pidi andmete kokkupanekuga tegelema ja esimene tulemus on ka </w:t>
            </w:r>
            <w:proofErr w:type="spellStart"/>
            <w:r w:rsidRPr="007B2DA7">
              <w:rPr>
                <w:lang w:val="et-EE"/>
              </w:rPr>
              <w:t>MKMile</w:t>
            </w:r>
            <w:proofErr w:type="spellEnd"/>
            <w:r w:rsidRPr="007B2DA7">
              <w:rPr>
                <w:lang w:val="et-EE"/>
              </w:rPr>
              <w:t xml:space="preserve"> edastatud. Hetkel on teemaks, millal on võimalik automaatpäringu kaudu andmetele ligipääsuks. Kuniks seda ei ole, ei saa ka küsimust maha võtta. Invakaartide väljastaja (SKA) muutumisega, see eeldab endiselt liiklusseaduse muutmist, </w:t>
            </w:r>
            <w:proofErr w:type="spellStart"/>
            <w:r w:rsidRPr="007B2DA7">
              <w:rPr>
                <w:lang w:val="et-EE"/>
              </w:rPr>
              <w:t>KOVil</w:t>
            </w:r>
            <w:proofErr w:type="spellEnd"/>
            <w:r w:rsidRPr="007B2DA7">
              <w:rPr>
                <w:lang w:val="et-EE"/>
              </w:rPr>
              <w:t xml:space="preserve"> vajadus puudeandmete järele langeb ära.</w:t>
            </w:r>
          </w:p>
          <w:p w14:paraId="1B047204" w14:textId="77777777" w:rsidR="00A578F7" w:rsidRPr="00EB0195" w:rsidRDefault="00A578F7" w:rsidP="00A578F7">
            <w:pPr>
              <w:rPr>
                <w:lang w:val="et-EE"/>
              </w:rPr>
            </w:pPr>
          </w:p>
        </w:tc>
      </w:tr>
      <w:tr w:rsidR="00A578F7" w:rsidRPr="006D15DA" w14:paraId="2C06BB7D" w14:textId="77777777" w:rsidTr="009B7455">
        <w:trPr>
          <w:trHeight w:val="1531"/>
        </w:trPr>
        <w:tc>
          <w:tcPr>
            <w:tcW w:w="4078" w:type="dxa"/>
            <w:shd w:val="clear" w:color="auto" w:fill="auto"/>
            <w:vAlign w:val="center"/>
          </w:tcPr>
          <w:p w14:paraId="7229D13F" w14:textId="3A3734F7" w:rsidR="00C05DFD" w:rsidRDefault="00C05DFD" w:rsidP="00C05DFD">
            <w:pPr>
              <w:rPr>
                <w:b/>
                <w:bCs/>
                <w:lang w:val="et-EE"/>
              </w:rPr>
            </w:pPr>
            <w:r w:rsidRPr="00406738">
              <w:rPr>
                <w:b/>
                <w:bCs/>
                <w:lang w:val="et-EE"/>
              </w:rPr>
              <w:lastRenderedPageBreak/>
              <w:t>Ettepanek</w:t>
            </w:r>
            <w:r w:rsidR="00354E94">
              <w:rPr>
                <w:b/>
                <w:bCs/>
                <w:lang w:val="et-EE"/>
              </w:rPr>
              <w:t xml:space="preserve"> 15</w:t>
            </w:r>
          </w:p>
          <w:p w14:paraId="72F7CD68" w14:textId="77777777" w:rsidR="00A40812" w:rsidRPr="00406738" w:rsidRDefault="00A40812" w:rsidP="00C05DFD">
            <w:pPr>
              <w:rPr>
                <w:b/>
                <w:bCs/>
                <w:lang w:val="et-EE"/>
              </w:rPr>
            </w:pPr>
          </w:p>
          <w:p w14:paraId="0A14C51C" w14:textId="494D498F" w:rsidR="00A578F7" w:rsidRPr="00EB0195" w:rsidRDefault="00C05DFD" w:rsidP="00C05DFD">
            <w:pPr>
              <w:rPr>
                <w:lang w:val="et-EE"/>
              </w:rPr>
            </w:pPr>
            <w:r w:rsidRPr="00C05DFD">
              <w:rPr>
                <w:lang w:val="et-EE"/>
              </w:rPr>
              <w:t>Täiendada liiklusseadust lahendamaks invakaartide väärkasutamisega kaasnevaid probleeme</w:t>
            </w:r>
          </w:p>
        </w:tc>
        <w:tc>
          <w:tcPr>
            <w:tcW w:w="5447" w:type="dxa"/>
            <w:shd w:val="clear" w:color="auto" w:fill="auto"/>
            <w:vAlign w:val="center"/>
          </w:tcPr>
          <w:p w14:paraId="2CBC377D" w14:textId="77777777" w:rsidR="00BF7ADE" w:rsidRPr="00BF7ADE" w:rsidRDefault="00BF7ADE" w:rsidP="00BF7ADE">
            <w:pPr>
              <w:rPr>
                <w:lang w:val="et-EE"/>
              </w:rPr>
            </w:pPr>
            <w:r w:rsidRPr="00BF7ADE">
              <w:rPr>
                <w:lang w:val="et-EE"/>
              </w:rPr>
              <w:t>1.</w:t>
            </w:r>
            <w:r w:rsidRPr="00BF7ADE">
              <w:rPr>
                <w:lang w:val="et-EE"/>
              </w:rPr>
              <w:tab/>
              <w:t>Täiendada LS § 2 punktiga 331 järgmises sõnastuses:</w:t>
            </w:r>
          </w:p>
          <w:p w14:paraId="4BA9714E" w14:textId="77777777" w:rsidR="00BF7ADE" w:rsidRPr="00BF7ADE" w:rsidRDefault="00BF7ADE" w:rsidP="00BF7ADE">
            <w:pPr>
              <w:rPr>
                <w:lang w:val="et-EE"/>
              </w:rPr>
            </w:pPr>
            <w:r w:rsidRPr="00BF7ADE">
              <w:rPr>
                <w:lang w:val="et-EE"/>
              </w:rPr>
              <w:t>„33l) Liikumispuudega või pimedat inimest teenindava sõiduki juht on juht, kelle sõidukil on käesoleva seaduse paragrahvi 167 alusel väljastatud parkimiskaart ja kes juhib sõidukit, milles viibib liikumispuudega või pime inimene, kelle veoks on parkimiskaart väljastatud. Sõiduki parkimisel laienevad eriõigused vaid siis, kui sõiduki parkimine on seotud liikumis- või nägemispuudega inimese vedamisega."</w:t>
            </w:r>
          </w:p>
          <w:p w14:paraId="3E6C8E55" w14:textId="77777777" w:rsidR="00BF7ADE" w:rsidRPr="00BF7ADE" w:rsidRDefault="00BF7ADE" w:rsidP="00BF7ADE">
            <w:pPr>
              <w:rPr>
                <w:lang w:val="et-EE"/>
              </w:rPr>
            </w:pPr>
            <w:r w:rsidRPr="00BF7ADE">
              <w:rPr>
                <w:lang w:val="et-EE"/>
              </w:rPr>
              <w:t>2.         Täiendada LS § 174 lg 1 punktiga 7 järgmises sõnastuses:</w:t>
            </w:r>
          </w:p>
          <w:p w14:paraId="659D3A47" w14:textId="77777777" w:rsidR="00BF7ADE" w:rsidRPr="00BF7ADE" w:rsidRDefault="00BF7ADE" w:rsidP="00BF7ADE">
            <w:pPr>
              <w:rPr>
                <w:lang w:val="et-EE"/>
              </w:rPr>
            </w:pPr>
            <w:r w:rsidRPr="00BF7ADE">
              <w:rPr>
                <w:lang w:val="et-EE"/>
              </w:rPr>
              <w:t>„7) liikumispuudega või pimedat inimest teenindava sõiduki parkimiskaartide andmebaasist."</w:t>
            </w:r>
          </w:p>
          <w:p w14:paraId="5BD1A91B" w14:textId="77777777" w:rsidR="00BF7ADE" w:rsidRPr="00BF7ADE" w:rsidRDefault="00BF7ADE" w:rsidP="00BF7ADE">
            <w:pPr>
              <w:rPr>
                <w:lang w:val="et-EE"/>
              </w:rPr>
            </w:pPr>
            <w:r w:rsidRPr="00BF7ADE">
              <w:rPr>
                <w:lang w:val="et-EE"/>
              </w:rPr>
              <w:t>3.         Täiendada LS § 174 lõikega 8 järgmises sõnastuses:</w:t>
            </w:r>
          </w:p>
          <w:p w14:paraId="15515F8E" w14:textId="77777777" w:rsidR="00BF7ADE" w:rsidRPr="00BF7ADE" w:rsidRDefault="00BF7ADE" w:rsidP="00BF7ADE">
            <w:pPr>
              <w:rPr>
                <w:lang w:val="et-EE"/>
              </w:rPr>
            </w:pPr>
            <w:r w:rsidRPr="00BF7ADE">
              <w:rPr>
                <w:lang w:val="et-EE"/>
              </w:rPr>
              <w:t>„(8) Liikumispuudega või pimedat inimest teenindava sõiduki parkimiskaartide andmebaasis peetakse arvestust liikumispuudega või pimedat inimest teenindavate sõidukite parkimiskaartide väljastamise ja tühistamise üle".</w:t>
            </w:r>
          </w:p>
          <w:p w14:paraId="6DCB8FE4" w14:textId="77777777" w:rsidR="00BF7ADE" w:rsidRPr="00BF7ADE" w:rsidRDefault="00BF7ADE" w:rsidP="00BF7ADE">
            <w:pPr>
              <w:rPr>
                <w:lang w:val="et-EE"/>
              </w:rPr>
            </w:pPr>
            <w:r w:rsidRPr="00BF7ADE">
              <w:rPr>
                <w:lang w:val="et-EE"/>
              </w:rPr>
              <w:t xml:space="preserve">4.         Tühistada LS § 68 </w:t>
            </w:r>
            <w:proofErr w:type="spellStart"/>
            <w:r w:rsidRPr="00BF7ADE">
              <w:rPr>
                <w:lang w:val="et-EE"/>
              </w:rPr>
              <w:t>lg-s</w:t>
            </w:r>
            <w:proofErr w:type="spellEnd"/>
            <w:r w:rsidRPr="00BF7ADE">
              <w:rPr>
                <w:lang w:val="et-EE"/>
              </w:rPr>
              <w:t xml:space="preserve"> 1 asendada sõnad „esi- või tagaklaasile" sõnadega „esiklaasile või armatuurlauale nii, et väljastpoolt mootorsõidukit oleks võimalik tuvastada dokumendi kehtivust".</w:t>
            </w:r>
          </w:p>
          <w:p w14:paraId="355C1EB5" w14:textId="77777777" w:rsidR="00BF7ADE" w:rsidRPr="00BF7ADE" w:rsidRDefault="00BF7ADE" w:rsidP="00BF7ADE">
            <w:pPr>
              <w:rPr>
                <w:lang w:val="et-EE"/>
              </w:rPr>
            </w:pPr>
            <w:r w:rsidRPr="00BF7ADE">
              <w:rPr>
                <w:lang w:val="et-EE"/>
              </w:rPr>
              <w:t>5.         Muuta LS § 167 lg 3 ja kehtestada see järgmises sõnastuses:</w:t>
            </w:r>
          </w:p>
          <w:p w14:paraId="2A12C96A" w14:textId="77777777" w:rsidR="00BF7ADE" w:rsidRPr="00BF7ADE" w:rsidRDefault="00BF7ADE" w:rsidP="00BF7ADE">
            <w:pPr>
              <w:rPr>
                <w:lang w:val="et-EE"/>
              </w:rPr>
            </w:pPr>
            <w:r w:rsidRPr="00BF7ADE">
              <w:rPr>
                <w:lang w:val="et-EE"/>
              </w:rPr>
              <w:t>(3) „Liikumispuudega või pimedat inimest teenindava sõiduki parkimiskaardi vormi, väljaandmise tingimused ja kehtetuks tunnistamise korra kehtestab sotsiaalminister määrusega.</w:t>
            </w:r>
          </w:p>
          <w:p w14:paraId="2DC5C22C" w14:textId="77777777" w:rsidR="00BF7ADE" w:rsidRPr="00BF7ADE" w:rsidRDefault="00BF7ADE" w:rsidP="00BF7ADE">
            <w:pPr>
              <w:rPr>
                <w:lang w:val="et-EE"/>
              </w:rPr>
            </w:pPr>
          </w:p>
          <w:p w14:paraId="16B6E396" w14:textId="77777777" w:rsidR="00BF7ADE" w:rsidRPr="00BF7ADE" w:rsidRDefault="00BF7ADE" w:rsidP="00BF7ADE">
            <w:pPr>
              <w:rPr>
                <w:lang w:val="et-EE"/>
              </w:rPr>
            </w:pPr>
            <w:r w:rsidRPr="00BF7ADE">
              <w:rPr>
                <w:lang w:val="et-EE"/>
              </w:rPr>
              <w:t>6.         Täiendada LS § 2616 järgmises sõnastuses:</w:t>
            </w:r>
          </w:p>
          <w:p w14:paraId="01459D8E" w14:textId="77777777" w:rsidR="00BF7ADE" w:rsidRPr="00BF7ADE" w:rsidRDefault="00BF7ADE" w:rsidP="00BF7ADE">
            <w:pPr>
              <w:rPr>
                <w:lang w:val="et-EE"/>
              </w:rPr>
            </w:pPr>
            <w:r w:rsidRPr="00BF7ADE">
              <w:rPr>
                <w:lang w:val="et-EE"/>
              </w:rPr>
              <w:t>„§ 2616 Liikumispuudega või pimedat inimest teenindava sõiduki parkimiskaardi ebaseaduslik kasutamine</w:t>
            </w:r>
          </w:p>
          <w:p w14:paraId="66B9FC91" w14:textId="77777777" w:rsidR="00BF7ADE" w:rsidRPr="00BF7ADE" w:rsidRDefault="00BF7ADE" w:rsidP="00BF7ADE">
            <w:pPr>
              <w:rPr>
                <w:lang w:val="et-EE"/>
              </w:rPr>
            </w:pPr>
            <w:r w:rsidRPr="00BF7ADE">
              <w:rPr>
                <w:lang w:val="et-EE"/>
              </w:rPr>
              <w:t>(1)       Liikumispuudega või pimedat inimest teenindava sõiduki parkimiskaardi kasutamise</w:t>
            </w:r>
          </w:p>
          <w:p w14:paraId="081B386C" w14:textId="77777777" w:rsidR="00BF7ADE" w:rsidRPr="00BF7ADE" w:rsidRDefault="00BF7ADE" w:rsidP="00BF7ADE">
            <w:pPr>
              <w:rPr>
                <w:lang w:val="et-EE"/>
              </w:rPr>
            </w:pPr>
            <w:r w:rsidRPr="00BF7ADE">
              <w:rPr>
                <w:lang w:val="et-EE"/>
              </w:rPr>
              <w:t>eest isiku poolt, kellel puudub selleks õigus, -</w:t>
            </w:r>
          </w:p>
          <w:p w14:paraId="17503BD6" w14:textId="77777777" w:rsidR="00BF7ADE" w:rsidRPr="00BF7ADE" w:rsidRDefault="00BF7ADE" w:rsidP="00BF7ADE">
            <w:pPr>
              <w:rPr>
                <w:lang w:val="et-EE"/>
              </w:rPr>
            </w:pPr>
            <w:r w:rsidRPr="00BF7ADE">
              <w:rPr>
                <w:lang w:val="et-EE"/>
              </w:rPr>
              <w:t>karistatakse rahatrahviga kuni 100 trahviühikut.</w:t>
            </w:r>
          </w:p>
          <w:p w14:paraId="7C1447D9" w14:textId="77777777" w:rsidR="00BF7ADE" w:rsidRPr="00BF7ADE" w:rsidRDefault="00BF7ADE" w:rsidP="00BF7ADE">
            <w:pPr>
              <w:rPr>
                <w:lang w:val="et-EE"/>
              </w:rPr>
            </w:pPr>
            <w:r w:rsidRPr="00BF7ADE">
              <w:rPr>
                <w:lang w:val="et-EE"/>
              </w:rPr>
              <w:lastRenderedPageBreak/>
              <w:t>(2)       Käesoleva paragrahvi lõikes 1 sätestatud teo eest, kui isikut on varem karistatud sellise teo</w:t>
            </w:r>
          </w:p>
          <w:p w14:paraId="31153822" w14:textId="77777777" w:rsidR="00BF7ADE" w:rsidRPr="00BF7ADE" w:rsidRDefault="00BF7ADE" w:rsidP="00BF7ADE">
            <w:pPr>
              <w:rPr>
                <w:lang w:val="et-EE"/>
              </w:rPr>
            </w:pPr>
            <w:r w:rsidRPr="00BF7ADE">
              <w:rPr>
                <w:lang w:val="et-EE"/>
              </w:rPr>
              <w:t>eest, -</w:t>
            </w:r>
          </w:p>
          <w:p w14:paraId="16174433" w14:textId="77777777" w:rsidR="00BF7ADE" w:rsidRPr="00BF7ADE" w:rsidRDefault="00BF7ADE" w:rsidP="00BF7ADE">
            <w:pPr>
              <w:rPr>
                <w:lang w:val="et-EE"/>
              </w:rPr>
            </w:pPr>
            <w:r w:rsidRPr="00BF7ADE">
              <w:rPr>
                <w:lang w:val="et-EE"/>
              </w:rPr>
              <w:t>karistatakse rahatrahviga 100 kuni 300 trahviühikut."</w:t>
            </w:r>
          </w:p>
          <w:p w14:paraId="15A015D2" w14:textId="77777777" w:rsidR="00BF7ADE" w:rsidRPr="00BF7ADE" w:rsidRDefault="00BF7ADE" w:rsidP="00BF7ADE">
            <w:pPr>
              <w:rPr>
                <w:lang w:val="et-EE"/>
              </w:rPr>
            </w:pPr>
            <w:r w:rsidRPr="00BF7ADE">
              <w:rPr>
                <w:lang w:val="et-EE"/>
              </w:rPr>
              <w:t>6.         Asendada liiklusseaduse § 263 lg 3 arv „2615" arvuga „2616".</w:t>
            </w:r>
          </w:p>
          <w:p w14:paraId="59DA6FFA" w14:textId="3971E318" w:rsidR="00A578F7" w:rsidRPr="00EB0195" w:rsidRDefault="00BF7ADE" w:rsidP="00BF7ADE">
            <w:pPr>
              <w:rPr>
                <w:lang w:val="et-EE"/>
              </w:rPr>
            </w:pPr>
            <w:r w:rsidRPr="00BF7ADE">
              <w:rPr>
                <w:lang w:val="et-EE"/>
              </w:rPr>
              <w:t>Võimalusel palume kaasata aruteludesse ka puuetega inimeste esindusorganisatsioonid.</w:t>
            </w:r>
          </w:p>
        </w:tc>
      </w:tr>
      <w:tr w:rsidR="0024180D" w:rsidRPr="006D15DA" w14:paraId="25024255" w14:textId="77777777" w:rsidTr="00E07628">
        <w:tc>
          <w:tcPr>
            <w:tcW w:w="4078" w:type="dxa"/>
            <w:shd w:val="clear" w:color="auto" w:fill="auto"/>
            <w:vAlign w:val="center"/>
          </w:tcPr>
          <w:p w14:paraId="213A64A8" w14:textId="278FFB47" w:rsidR="0024180D" w:rsidRDefault="0024180D" w:rsidP="0024180D">
            <w:pPr>
              <w:rPr>
                <w:rStyle w:val="Tugev"/>
                <w:rFonts w:ascii="Times New Roman" w:hAnsi="Times New Roman" w:cs="Times New Roman"/>
                <w:lang w:val="et-EE"/>
              </w:rPr>
            </w:pPr>
            <w:r w:rsidRPr="00EB0195">
              <w:rPr>
                <w:rStyle w:val="Tugev"/>
                <w:rFonts w:ascii="Times New Roman" w:hAnsi="Times New Roman" w:cs="Times New Roman"/>
                <w:lang w:val="et-EE"/>
              </w:rPr>
              <w:lastRenderedPageBreak/>
              <w:t xml:space="preserve">Ettepanek </w:t>
            </w:r>
            <w:r>
              <w:rPr>
                <w:rStyle w:val="Tugev"/>
                <w:rFonts w:ascii="Times New Roman" w:hAnsi="Times New Roman" w:cs="Times New Roman"/>
                <w:lang w:val="et-EE"/>
              </w:rPr>
              <w:t>16</w:t>
            </w:r>
          </w:p>
          <w:p w14:paraId="59A7AD3B" w14:textId="77777777" w:rsidR="00A40812" w:rsidRPr="00EB0195" w:rsidRDefault="00A40812" w:rsidP="0024180D">
            <w:pPr>
              <w:rPr>
                <w:rStyle w:val="Tugev"/>
                <w:rFonts w:ascii="Times New Roman" w:hAnsi="Times New Roman" w:cs="Times New Roman"/>
                <w:lang w:val="et-EE"/>
              </w:rPr>
            </w:pPr>
          </w:p>
          <w:p w14:paraId="58344717" w14:textId="77777777" w:rsidR="0024180D" w:rsidRPr="00EB0195" w:rsidRDefault="0024180D" w:rsidP="0024180D">
            <w:pPr>
              <w:rPr>
                <w:rStyle w:val="Tugev"/>
                <w:rFonts w:ascii="Times New Roman" w:hAnsi="Times New Roman" w:cs="Times New Roman"/>
                <w:b w:val="0"/>
                <w:bCs w:val="0"/>
                <w:lang w:val="et-EE"/>
              </w:rPr>
            </w:pPr>
            <w:r w:rsidRPr="00EB0195">
              <w:rPr>
                <w:rStyle w:val="Tugev"/>
                <w:rFonts w:ascii="Times New Roman" w:hAnsi="Times New Roman" w:cs="Times New Roman"/>
                <w:b w:val="0"/>
                <w:bCs w:val="0"/>
                <w:lang w:val="et-EE"/>
              </w:rPr>
              <w:t xml:space="preserve">Teehoiutoetusele lisada väikesaarte komponent, millest lähtudes rahastada </w:t>
            </w:r>
          </w:p>
          <w:p w14:paraId="07538813" w14:textId="689810D3" w:rsidR="0024180D" w:rsidRPr="00EB0195" w:rsidRDefault="0024180D" w:rsidP="0024180D">
            <w:pPr>
              <w:rPr>
                <w:lang w:val="et-EE"/>
              </w:rPr>
            </w:pPr>
            <w:r w:rsidRPr="00EB0195">
              <w:rPr>
                <w:rStyle w:val="Tugev"/>
                <w:rFonts w:ascii="Times New Roman" w:hAnsi="Times New Roman" w:cs="Times New Roman"/>
                <w:b w:val="0"/>
                <w:bCs w:val="0"/>
                <w:lang w:val="et-EE"/>
              </w:rPr>
              <w:t>püsiasustusega väikesaarte teehoidu koefitsiendiga minimaalselt 1,2.</w:t>
            </w:r>
          </w:p>
        </w:tc>
        <w:tc>
          <w:tcPr>
            <w:tcW w:w="5447" w:type="dxa"/>
            <w:shd w:val="clear" w:color="auto" w:fill="auto"/>
            <w:vAlign w:val="center"/>
          </w:tcPr>
          <w:p w14:paraId="29674FFE" w14:textId="77777777" w:rsidR="0024180D" w:rsidRPr="00EB0195" w:rsidRDefault="0024180D" w:rsidP="0024180D">
            <w:pPr>
              <w:rPr>
                <w:rFonts w:ascii="Times New Roman" w:hAnsi="Times New Roman" w:cs="Times New Roman"/>
                <w:lang w:val="et-EE"/>
              </w:rPr>
            </w:pPr>
            <w:r w:rsidRPr="00EB0195">
              <w:rPr>
                <w:rFonts w:ascii="Times New Roman" w:hAnsi="Times New Roman" w:cs="Times New Roman"/>
                <w:lang w:val="et-EE"/>
              </w:rPr>
              <w:t xml:space="preserve">Teehoiu korraldamine väikesaartel on oluliselt kulukam kui mandril, seda tulenevalt vahepealsest meretranspordist </w:t>
            </w:r>
          </w:p>
          <w:p w14:paraId="7B748AFA" w14:textId="77777777" w:rsidR="0024180D" w:rsidRPr="00EB0195" w:rsidRDefault="0024180D" w:rsidP="0024180D">
            <w:pPr>
              <w:rPr>
                <w:rFonts w:ascii="Times New Roman" w:hAnsi="Times New Roman" w:cs="Times New Roman"/>
                <w:lang w:val="et-EE"/>
              </w:rPr>
            </w:pPr>
            <w:r w:rsidRPr="00EB0195">
              <w:rPr>
                <w:rFonts w:ascii="Times New Roman" w:hAnsi="Times New Roman" w:cs="Times New Roman"/>
                <w:lang w:val="et-EE"/>
              </w:rPr>
              <w:t xml:space="preserve">ning vajadusest hoida tehnika saarel mõne töö osas ka päevade kaupa. See toob kaasa teenuse maksumuse kasvu, mistõttu on vajalik täiendav rahastamine. 20% hinnalisa on adekvaatne </w:t>
            </w:r>
          </w:p>
          <w:p w14:paraId="2A9804F0" w14:textId="41049281" w:rsidR="0024180D" w:rsidRPr="00EB0195" w:rsidRDefault="0024180D" w:rsidP="0024180D">
            <w:pPr>
              <w:rPr>
                <w:lang w:val="et-EE"/>
              </w:rPr>
            </w:pPr>
            <w:r w:rsidRPr="00EB0195">
              <w:rPr>
                <w:rFonts w:ascii="Times New Roman" w:hAnsi="Times New Roman" w:cs="Times New Roman"/>
                <w:lang w:val="et-EE"/>
              </w:rPr>
              <w:t>suurusjärk, kuid loomulikult ei pruugi katta kõiki lisanduvaid kulusid.</w:t>
            </w:r>
          </w:p>
        </w:tc>
      </w:tr>
      <w:tr w:rsidR="0024180D" w:rsidRPr="006D15DA" w14:paraId="6A21A5CD" w14:textId="77777777" w:rsidTr="002D15BB">
        <w:tc>
          <w:tcPr>
            <w:tcW w:w="4078" w:type="dxa"/>
            <w:tcBorders>
              <w:bottom w:val="single" w:sz="4" w:space="0" w:color="auto"/>
            </w:tcBorders>
            <w:shd w:val="clear" w:color="auto" w:fill="auto"/>
            <w:vAlign w:val="center"/>
          </w:tcPr>
          <w:p w14:paraId="603F4E36" w14:textId="77777777" w:rsidR="00C67D95" w:rsidRDefault="00C67D95" w:rsidP="0024180D">
            <w:pPr>
              <w:rPr>
                <w:rStyle w:val="Tugev"/>
                <w:lang w:val="et-EE"/>
              </w:rPr>
            </w:pPr>
          </w:p>
          <w:p w14:paraId="63FFA3DB" w14:textId="113603DF" w:rsidR="0024180D" w:rsidRDefault="0024180D" w:rsidP="0024180D">
            <w:pPr>
              <w:rPr>
                <w:rStyle w:val="Tugev"/>
                <w:lang w:val="et-EE"/>
              </w:rPr>
            </w:pPr>
            <w:r w:rsidRPr="00EB0195">
              <w:rPr>
                <w:rStyle w:val="Tugev"/>
                <w:lang w:val="et-EE"/>
              </w:rPr>
              <w:t xml:space="preserve">Ettepanek </w:t>
            </w:r>
            <w:r>
              <w:rPr>
                <w:rStyle w:val="Tugev"/>
                <w:lang w:val="et-EE"/>
              </w:rPr>
              <w:t>17</w:t>
            </w:r>
          </w:p>
          <w:p w14:paraId="6E000131" w14:textId="113AAC64" w:rsidR="00A40812" w:rsidRDefault="00A40812" w:rsidP="0024180D">
            <w:pPr>
              <w:rPr>
                <w:rStyle w:val="Tugev"/>
                <w:lang w:val="et-EE"/>
              </w:rPr>
            </w:pPr>
          </w:p>
          <w:p w14:paraId="12F427E9" w14:textId="77777777" w:rsidR="00A40812" w:rsidRDefault="00A40812" w:rsidP="0024180D">
            <w:pPr>
              <w:rPr>
                <w:rStyle w:val="Tugev"/>
                <w:lang w:val="et-EE"/>
              </w:rPr>
            </w:pPr>
          </w:p>
          <w:p w14:paraId="613E07BF" w14:textId="77777777" w:rsidR="0024180D" w:rsidRPr="002044A9" w:rsidRDefault="0024180D" w:rsidP="0024180D">
            <w:pPr>
              <w:rPr>
                <w:rStyle w:val="Tugev"/>
                <w:b w:val="0"/>
                <w:bCs w:val="0"/>
                <w:lang w:val="et-EE"/>
              </w:rPr>
            </w:pPr>
            <w:r w:rsidRPr="002044A9">
              <w:rPr>
                <w:rStyle w:val="Tugev"/>
                <w:b w:val="0"/>
                <w:bCs w:val="0"/>
                <w:lang w:val="et-EE"/>
              </w:rPr>
              <w:t>Rail Baltica peatuse taristu väljaehitamine ja selle sidumine regionaalse transpordisüsteemidega.</w:t>
            </w:r>
          </w:p>
          <w:p w14:paraId="47431677" w14:textId="77777777" w:rsidR="0024180D" w:rsidRPr="00EB0195" w:rsidRDefault="0024180D" w:rsidP="0024180D">
            <w:pPr>
              <w:rPr>
                <w:lang w:val="et-EE"/>
              </w:rPr>
            </w:pPr>
          </w:p>
        </w:tc>
        <w:tc>
          <w:tcPr>
            <w:tcW w:w="5447" w:type="dxa"/>
            <w:tcBorders>
              <w:bottom w:val="single" w:sz="4" w:space="0" w:color="auto"/>
            </w:tcBorders>
            <w:shd w:val="clear" w:color="auto" w:fill="auto"/>
            <w:vAlign w:val="center"/>
          </w:tcPr>
          <w:p w14:paraId="73C1BAA1" w14:textId="7F2672E1" w:rsidR="0024180D" w:rsidRPr="00EB0195" w:rsidRDefault="0024180D" w:rsidP="0024180D">
            <w:pPr>
              <w:rPr>
                <w:lang w:val="et-EE"/>
              </w:rPr>
            </w:pPr>
            <w:r>
              <w:rPr>
                <w:lang w:val="et-EE"/>
              </w:rPr>
              <w:t>Rail Baltica on riikliku tähtsusega objekt ning peab lahendama ühtse tervikliku riikliku transpordi süsteemi. Näha ette regionaalsete p</w:t>
            </w:r>
            <w:r w:rsidRPr="00C06159">
              <w:rPr>
                <w:lang w:val="et-EE"/>
              </w:rPr>
              <w:t>eatuste täpse</w:t>
            </w:r>
            <w:r>
              <w:rPr>
                <w:lang w:val="et-EE"/>
              </w:rPr>
              <w:t xml:space="preserve">d </w:t>
            </w:r>
            <w:r w:rsidRPr="00C06159">
              <w:rPr>
                <w:lang w:val="et-EE"/>
              </w:rPr>
              <w:t>asukoha</w:t>
            </w:r>
            <w:r>
              <w:rPr>
                <w:lang w:val="et-EE"/>
              </w:rPr>
              <w:t>d. Kavandada peatuste väljaehitamiseks vajaminev riiklik rahastus</w:t>
            </w:r>
          </w:p>
        </w:tc>
      </w:tr>
      <w:tr w:rsidR="0024180D" w:rsidRPr="006D15DA" w14:paraId="0D18C3FD" w14:textId="77777777" w:rsidTr="002D15BB">
        <w:tc>
          <w:tcPr>
            <w:tcW w:w="4078" w:type="dxa"/>
            <w:tcBorders>
              <w:bottom w:val="single" w:sz="4" w:space="0" w:color="auto"/>
            </w:tcBorders>
            <w:shd w:val="clear" w:color="auto" w:fill="auto"/>
            <w:vAlign w:val="center"/>
          </w:tcPr>
          <w:p w14:paraId="11FA54F1" w14:textId="77777777" w:rsidR="00C67D95" w:rsidRDefault="00C67D95" w:rsidP="0024180D">
            <w:pPr>
              <w:rPr>
                <w:rStyle w:val="Tugev"/>
                <w:lang w:val="et-EE"/>
              </w:rPr>
            </w:pPr>
          </w:p>
          <w:p w14:paraId="1FA130BE" w14:textId="77A86367" w:rsidR="0024180D" w:rsidRDefault="0024180D" w:rsidP="0024180D">
            <w:pPr>
              <w:rPr>
                <w:rStyle w:val="Tugev"/>
                <w:lang w:val="et-EE"/>
              </w:rPr>
            </w:pPr>
            <w:r w:rsidRPr="00EB0195">
              <w:rPr>
                <w:rStyle w:val="Tugev"/>
                <w:lang w:val="et-EE"/>
              </w:rPr>
              <w:t xml:space="preserve">Ettepanek </w:t>
            </w:r>
            <w:r>
              <w:rPr>
                <w:rStyle w:val="Tugev"/>
                <w:lang w:val="et-EE"/>
              </w:rPr>
              <w:t>18</w:t>
            </w:r>
          </w:p>
          <w:p w14:paraId="4A46854D" w14:textId="77777777" w:rsidR="00A40812" w:rsidRDefault="00A40812" w:rsidP="0024180D">
            <w:pPr>
              <w:rPr>
                <w:rStyle w:val="Tugev"/>
                <w:lang w:val="et-EE"/>
              </w:rPr>
            </w:pPr>
          </w:p>
          <w:p w14:paraId="1E711BBA" w14:textId="01FDE32B" w:rsidR="0024180D" w:rsidRPr="006D15DA" w:rsidRDefault="00602C9E" w:rsidP="0024180D">
            <w:pPr>
              <w:rPr>
                <w:rStyle w:val="Tugev"/>
                <w:b w:val="0"/>
                <w:bCs w:val="0"/>
                <w:lang w:val="et-EE"/>
              </w:rPr>
            </w:pPr>
            <w:r>
              <w:rPr>
                <w:lang w:val="et-EE"/>
              </w:rPr>
              <w:t xml:space="preserve">MNT poolt pakutavate teede üleandmisega KOV </w:t>
            </w:r>
            <w:proofErr w:type="spellStart"/>
            <w:r>
              <w:rPr>
                <w:lang w:val="et-EE"/>
              </w:rPr>
              <w:t>idele</w:t>
            </w:r>
            <w:proofErr w:type="spellEnd"/>
            <w:r>
              <w:rPr>
                <w:lang w:val="et-EE"/>
              </w:rPr>
              <w:t xml:space="preserve"> </w:t>
            </w:r>
            <w:r w:rsidR="0060541E">
              <w:rPr>
                <w:lang w:val="et-EE"/>
              </w:rPr>
              <w:t xml:space="preserve">puudub </w:t>
            </w:r>
            <w:r w:rsidR="002C06D0">
              <w:rPr>
                <w:lang w:val="et-EE"/>
              </w:rPr>
              <w:t>te</w:t>
            </w:r>
            <w:r w:rsidR="00D779DB">
              <w:rPr>
                <w:lang w:val="et-EE"/>
              </w:rPr>
              <w:t>r</w:t>
            </w:r>
            <w:r w:rsidR="002C06D0">
              <w:rPr>
                <w:lang w:val="et-EE"/>
              </w:rPr>
              <w:t xml:space="preserve">vik </w:t>
            </w:r>
            <w:r w:rsidR="0060541E">
              <w:rPr>
                <w:lang w:val="et-EE"/>
              </w:rPr>
              <w:t>analüüs</w:t>
            </w:r>
            <w:r w:rsidR="00686ADD">
              <w:rPr>
                <w:lang w:val="et-EE"/>
              </w:rPr>
              <w:t xml:space="preserve">, </w:t>
            </w:r>
            <w:r w:rsidR="005F6AE0">
              <w:rPr>
                <w:lang w:val="et-EE"/>
              </w:rPr>
              <w:t xml:space="preserve">mis tooks välja </w:t>
            </w:r>
            <w:r w:rsidR="006A4F6E">
              <w:rPr>
                <w:lang w:val="et-EE"/>
              </w:rPr>
              <w:t xml:space="preserve">tegevusega kaasnevad </w:t>
            </w:r>
            <w:r w:rsidR="00420E6D">
              <w:rPr>
                <w:lang w:val="et-EE"/>
              </w:rPr>
              <w:t xml:space="preserve">eelised </w:t>
            </w:r>
            <w:r w:rsidR="00D06A24">
              <w:rPr>
                <w:lang w:val="et-EE"/>
              </w:rPr>
              <w:t xml:space="preserve"> ja </w:t>
            </w:r>
            <w:r w:rsidR="00FA4878">
              <w:rPr>
                <w:lang w:val="et-EE"/>
              </w:rPr>
              <w:t>puudused</w:t>
            </w:r>
            <w:r w:rsidR="007E275C">
              <w:rPr>
                <w:lang w:val="et-EE"/>
              </w:rPr>
              <w:t xml:space="preserve">. Seniks </w:t>
            </w:r>
            <w:r w:rsidR="00EE717B">
              <w:rPr>
                <w:lang w:val="et-EE"/>
              </w:rPr>
              <w:t>mitte</w:t>
            </w:r>
            <w:r w:rsidR="0024180D" w:rsidRPr="009378A1">
              <w:rPr>
                <w:lang w:val="et-EE"/>
              </w:rPr>
              <w:t xml:space="preserve"> nõustuda maanteeameti poolt omavalitsuse omandisse pakutavate teede ülevõtmis</w:t>
            </w:r>
            <w:r w:rsidR="002E4681">
              <w:rPr>
                <w:lang w:val="et-EE"/>
              </w:rPr>
              <w:t>t</w:t>
            </w:r>
            <w:r>
              <w:rPr>
                <w:lang w:val="et-EE"/>
              </w:rPr>
              <w:t xml:space="preserve">. </w:t>
            </w:r>
          </w:p>
        </w:tc>
        <w:tc>
          <w:tcPr>
            <w:tcW w:w="5447" w:type="dxa"/>
            <w:tcBorders>
              <w:bottom w:val="single" w:sz="4" w:space="0" w:color="auto"/>
            </w:tcBorders>
            <w:shd w:val="clear" w:color="auto" w:fill="auto"/>
          </w:tcPr>
          <w:p w14:paraId="5E80619E" w14:textId="77777777" w:rsidR="0024180D" w:rsidRPr="005205BA" w:rsidRDefault="0024180D" w:rsidP="0024180D">
            <w:pPr>
              <w:rPr>
                <w:lang w:val="et-EE"/>
              </w:rPr>
            </w:pPr>
            <w:r w:rsidRPr="005205BA">
              <w:rPr>
                <w:lang w:val="et-EE"/>
              </w:rPr>
              <w:t>Omavalitsuste omandisse pakutavad teed ei ole</w:t>
            </w:r>
          </w:p>
          <w:p w14:paraId="74416DA8" w14:textId="4359FD58" w:rsidR="0024180D" w:rsidRPr="006D15DA" w:rsidRDefault="0024180D" w:rsidP="0024180D">
            <w:pPr>
              <w:rPr>
                <w:lang w:val="et-EE"/>
              </w:rPr>
            </w:pPr>
            <w:r w:rsidRPr="005205BA">
              <w:rPr>
                <w:lang w:val="et-EE"/>
              </w:rPr>
              <w:t xml:space="preserve">kohaliku tee iseloomuga. Teede ülevõtmisega kaasnevad kulutused teehoiuks suurenevad ja kaaluma peab omavalitsuse </w:t>
            </w:r>
            <w:r w:rsidR="00872B66">
              <w:rPr>
                <w:lang w:val="et-EE"/>
              </w:rPr>
              <w:t xml:space="preserve">täiendava </w:t>
            </w:r>
            <w:r w:rsidRPr="005205BA">
              <w:rPr>
                <w:lang w:val="et-EE"/>
              </w:rPr>
              <w:t>masinapargi loomist.</w:t>
            </w:r>
            <w:r>
              <w:rPr>
                <w:lang w:val="et-EE"/>
              </w:rPr>
              <w:t xml:space="preserve"> MNT omab suuremat </w:t>
            </w:r>
            <w:r w:rsidR="009959FB">
              <w:rPr>
                <w:lang w:val="et-EE"/>
              </w:rPr>
              <w:t xml:space="preserve">võimekust ning </w:t>
            </w:r>
            <w:proofErr w:type="spellStart"/>
            <w:r w:rsidR="00D25311">
              <w:rPr>
                <w:lang w:val="et-EE"/>
              </w:rPr>
              <w:t>k</w:t>
            </w:r>
            <w:r>
              <w:rPr>
                <w:lang w:val="et-EE"/>
              </w:rPr>
              <w:t>ompen</w:t>
            </w:r>
            <w:r w:rsidR="00163D0A">
              <w:rPr>
                <w:lang w:val="et-EE"/>
              </w:rPr>
              <w:t>t</w:t>
            </w:r>
            <w:r>
              <w:rPr>
                <w:lang w:val="et-EE"/>
              </w:rPr>
              <w:t>ents</w:t>
            </w:r>
            <w:r w:rsidR="009959FB">
              <w:rPr>
                <w:lang w:val="et-EE"/>
              </w:rPr>
              <w:t>i</w:t>
            </w:r>
            <w:proofErr w:type="spellEnd"/>
            <w:r>
              <w:rPr>
                <w:lang w:val="et-EE"/>
              </w:rPr>
              <w:t xml:space="preserve"> </w:t>
            </w:r>
            <w:r w:rsidR="00FB691E">
              <w:rPr>
                <w:lang w:val="et-EE"/>
              </w:rPr>
              <w:t xml:space="preserve">seni riigile kuuluvate </w:t>
            </w:r>
            <w:r>
              <w:rPr>
                <w:lang w:val="et-EE"/>
              </w:rPr>
              <w:t>teede haldamiseks.</w:t>
            </w:r>
            <w:r w:rsidR="005F3A40">
              <w:rPr>
                <w:lang w:val="et-EE"/>
              </w:rPr>
              <w:t xml:space="preserve"> </w:t>
            </w:r>
            <w:r w:rsidR="00A35ED4">
              <w:rPr>
                <w:lang w:val="et-EE"/>
              </w:rPr>
              <w:t>Rakendada vaid vabatahtliku</w:t>
            </w:r>
            <w:r w:rsidR="00EC31B8">
              <w:rPr>
                <w:lang w:val="et-EE"/>
              </w:rPr>
              <w:t xml:space="preserve"> kokkul</w:t>
            </w:r>
            <w:r w:rsidR="00E64661">
              <w:rPr>
                <w:lang w:val="et-EE"/>
              </w:rPr>
              <w:t>e</w:t>
            </w:r>
            <w:r w:rsidR="00EC31B8">
              <w:rPr>
                <w:lang w:val="et-EE"/>
              </w:rPr>
              <w:t>pet</w:t>
            </w:r>
            <w:r w:rsidR="00163D0A">
              <w:rPr>
                <w:lang w:val="et-EE"/>
              </w:rPr>
              <w:t>.</w:t>
            </w:r>
          </w:p>
        </w:tc>
      </w:tr>
      <w:tr w:rsidR="0024180D" w:rsidRPr="006D15DA" w14:paraId="7B6370C9" w14:textId="77777777" w:rsidTr="002D15BB">
        <w:tc>
          <w:tcPr>
            <w:tcW w:w="4078" w:type="dxa"/>
            <w:tcBorders>
              <w:top w:val="single" w:sz="4" w:space="0" w:color="auto"/>
              <w:left w:val="nil"/>
              <w:bottom w:val="nil"/>
              <w:right w:val="nil"/>
            </w:tcBorders>
            <w:shd w:val="clear" w:color="auto" w:fill="auto"/>
            <w:vAlign w:val="center"/>
          </w:tcPr>
          <w:p w14:paraId="3150FE95" w14:textId="6E648475" w:rsidR="0024180D" w:rsidRPr="006D15DA" w:rsidRDefault="0024180D" w:rsidP="0024180D">
            <w:pPr>
              <w:rPr>
                <w:rStyle w:val="Tugev"/>
                <w:rFonts w:ascii="Times New Roman" w:hAnsi="Times New Roman" w:cs="Times New Roman"/>
                <w:b w:val="0"/>
                <w:bCs w:val="0"/>
                <w:lang w:val="et-EE"/>
              </w:rPr>
            </w:pPr>
          </w:p>
        </w:tc>
        <w:tc>
          <w:tcPr>
            <w:tcW w:w="5447" w:type="dxa"/>
            <w:tcBorders>
              <w:top w:val="single" w:sz="4" w:space="0" w:color="auto"/>
              <w:left w:val="nil"/>
              <w:bottom w:val="nil"/>
              <w:right w:val="nil"/>
            </w:tcBorders>
            <w:shd w:val="clear" w:color="auto" w:fill="auto"/>
            <w:vAlign w:val="center"/>
          </w:tcPr>
          <w:p w14:paraId="3D72E261" w14:textId="4AD19BBA" w:rsidR="0024180D" w:rsidRPr="006D15DA" w:rsidRDefault="0024180D" w:rsidP="0024180D">
            <w:pPr>
              <w:rPr>
                <w:rFonts w:ascii="Times New Roman" w:hAnsi="Times New Roman" w:cs="Times New Roman"/>
                <w:lang w:val="et-EE"/>
              </w:rPr>
            </w:pPr>
          </w:p>
        </w:tc>
      </w:tr>
      <w:tr w:rsidR="0024180D" w:rsidRPr="006D15DA" w14:paraId="64FF3445" w14:textId="77777777" w:rsidTr="002D15BB">
        <w:tc>
          <w:tcPr>
            <w:tcW w:w="4078" w:type="dxa"/>
            <w:tcBorders>
              <w:top w:val="nil"/>
              <w:left w:val="nil"/>
              <w:bottom w:val="nil"/>
              <w:right w:val="nil"/>
            </w:tcBorders>
            <w:shd w:val="clear" w:color="auto" w:fill="auto"/>
            <w:vAlign w:val="center"/>
          </w:tcPr>
          <w:p w14:paraId="6374AB7A" w14:textId="77777777" w:rsidR="0024180D" w:rsidRPr="00EB0195" w:rsidRDefault="0024180D" w:rsidP="0024180D">
            <w:pPr>
              <w:rPr>
                <w:rStyle w:val="Tugev"/>
                <w:lang w:val="et-EE"/>
              </w:rPr>
            </w:pPr>
          </w:p>
        </w:tc>
        <w:tc>
          <w:tcPr>
            <w:tcW w:w="5447" w:type="dxa"/>
            <w:tcBorders>
              <w:top w:val="nil"/>
              <w:left w:val="nil"/>
              <w:bottom w:val="nil"/>
              <w:right w:val="nil"/>
            </w:tcBorders>
            <w:shd w:val="clear" w:color="auto" w:fill="auto"/>
            <w:vAlign w:val="center"/>
          </w:tcPr>
          <w:p w14:paraId="0DE3534C" w14:textId="5F86BBDD" w:rsidR="0024180D" w:rsidRPr="006D15DA" w:rsidRDefault="0024180D" w:rsidP="0024180D">
            <w:pPr>
              <w:rPr>
                <w:lang w:val="et-EE"/>
              </w:rPr>
            </w:pPr>
          </w:p>
        </w:tc>
      </w:tr>
      <w:tr w:rsidR="0024180D" w:rsidRPr="00A70427" w14:paraId="3BBF9778" w14:textId="77777777" w:rsidTr="002D15BB">
        <w:tc>
          <w:tcPr>
            <w:tcW w:w="4078" w:type="dxa"/>
            <w:tcBorders>
              <w:top w:val="nil"/>
              <w:left w:val="nil"/>
              <w:bottom w:val="nil"/>
              <w:right w:val="nil"/>
            </w:tcBorders>
            <w:shd w:val="clear" w:color="auto" w:fill="auto"/>
          </w:tcPr>
          <w:p w14:paraId="2D85149B" w14:textId="6F3D598C" w:rsidR="0024180D" w:rsidRPr="00A70427" w:rsidRDefault="0024180D" w:rsidP="0024180D">
            <w:pPr>
              <w:rPr>
                <w:lang w:val="et-EE"/>
              </w:rPr>
            </w:pPr>
          </w:p>
        </w:tc>
        <w:tc>
          <w:tcPr>
            <w:tcW w:w="5447" w:type="dxa"/>
            <w:tcBorders>
              <w:top w:val="nil"/>
              <w:left w:val="nil"/>
              <w:bottom w:val="nil"/>
              <w:right w:val="nil"/>
            </w:tcBorders>
            <w:shd w:val="clear" w:color="auto" w:fill="auto"/>
          </w:tcPr>
          <w:p w14:paraId="65745A78" w14:textId="2716AEA7" w:rsidR="0024180D" w:rsidRPr="00A70427" w:rsidRDefault="0024180D" w:rsidP="0024180D">
            <w:pPr>
              <w:rPr>
                <w:lang w:val="et-EE"/>
              </w:rPr>
            </w:pPr>
          </w:p>
        </w:tc>
      </w:tr>
      <w:tr w:rsidR="0024180D" w:rsidRPr="00A70427" w14:paraId="3901A429" w14:textId="77777777" w:rsidTr="002D15BB">
        <w:tc>
          <w:tcPr>
            <w:tcW w:w="4078" w:type="dxa"/>
            <w:tcBorders>
              <w:top w:val="nil"/>
              <w:left w:val="nil"/>
              <w:bottom w:val="nil"/>
              <w:right w:val="nil"/>
            </w:tcBorders>
            <w:shd w:val="clear" w:color="auto" w:fill="auto"/>
          </w:tcPr>
          <w:p w14:paraId="4022A352" w14:textId="4E5A068A" w:rsidR="0024180D" w:rsidRPr="003C042E" w:rsidRDefault="0024180D" w:rsidP="0024180D">
            <w:pPr>
              <w:rPr>
                <w:lang w:val="et-EE"/>
              </w:rPr>
            </w:pPr>
          </w:p>
        </w:tc>
        <w:tc>
          <w:tcPr>
            <w:tcW w:w="5447" w:type="dxa"/>
            <w:tcBorders>
              <w:top w:val="nil"/>
              <w:left w:val="nil"/>
              <w:bottom w:val="nil"/>
              <w:right w:val="nil"/>
            </w:tcBorders>
            <w:shd w:val="clear" w:color="auto" w:fill="auto"/>
          </w:tcPr>
          <w:p w14:paraId="0BE05AA2" w14:textId="78758113" w:rsidR="0024180D" w:rsidRPr="00A70427" w:rsidRDefault="0024180D" w:rsidP="0024180D">
            <w:pPr>
              <w:rPr>
                <w:lang w:val="et-EE"/>
              </w:rPr>
            </w:pPr>
          </w:p>
        </w:tc>
      </w:tr>
    </w:tbl>
    <w:p w14:paraId="0F03924A" w14:textId="4C6BDD4E" w:rsidR="002651FB" w:rsidRPr="006D15DA" w:rsidRDefault="002651FB" w:rsidP="006D15DA">
      <w:pPr>
        <w:rPr>
          <w:lang w:val="et-EE"/>
        </w:rPr>
      </w:pPr>
    </w:p>
    <w:sectPr w:rsidR="002651FB" w:rsidRPr="006D1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imbus Roman No9 L">
    <w:altName w:val="Times New Roman"/>
    <w:charset w:val="01"/>
    <w:family w:val="roman"/>
    <w:pitch w:val="variable"/>
  </w:font>
  <w:font w:name="DejaVu Sans">
    <w:altName w:val="Verdana"/>
    <w:charset w:val="01"/>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924AF"/>
    <w:multiLevelType w:val="hybridMultilevel"/>
    <w:tmpl w:val="152CB8DA"/>
    <w:lvl w:ilvl="0" w:tplc="04250015">
      <w:start w:val="1"/>
      <w:numFmt w:val="upperLetter"/>
      <w:lvlText w:val="%1."/>
      <w:lvlJc w:val="left"/>
      <w:pPr>
        <w:ind w:left="643"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FB"/>
    <w:rsid w:val="00005EC9"/>
    <w:rsid w:val="00005F32"/>
    <w:rsid w:val="0002630A"/>
    <w:rsid w:val="00030B72"/>
    <w:rsid w:val="00032A9D"/>
    <w:rsid w:val="00056856"/>
    <w:rsid w:val="00070E80"/>
    <w:rsid w:val="00093C1E"/>
    <w:rsid w:val="000E5A8A"/>
    <w:rsid w:val="000F2213"/>
    <w:rsid w:val="000F5196"/>
    <w:rsid w:val="0010483D"/>
    <w:rsid w:val="00112483"/>
    <w:rsid w:val="001149D9"/>
    <w:rsid w:val="00117F4F"/>
    <w:rsid w:val="00144E67"/>
    <w:rsid w:val="00153877"/>
    <w:rsid w:val="00163D0A"/>
    <w:rsid w:val="001B2ACD"/>
    <w:rsid w:val="001C4EA8"/>
    <w:rsid w:val="001C6924"/>
    <w:rsid w:val="001D2F50"/>
    <w:rsid w:val="001E0701"/>
    <w:rsid w:val="001E073A"/>
    <w:rsid w:val="001E5E72"/>
    <w:rsid w:val="001F0812"/>
    <w:rsid w:val="001F5217"/>
    <w:rsid w:val="001F68B3"/>
    <w:rsid w:val="002044A9"/>
    <w:rsid w:val="00236144"/>
    <w:rsid w:val="0024180D"/>
    <w:rsid w:val="00253F70"/>
    <w:rsid w:val="002651FB"/>
    <w:rsid w:val="00270203"/>
    <w:rsid w:val="00296E5A"/>
    <w:rsid w:val="002A5A07"/>
    <w:rsid w:val="002C06D0"/>
    <w:rsid w:val="002D15BB"/>
    <w:rsid w:val="002D2E50"/>
    <w:rsid w:val="002D2F35"/>
    <w:rsid w:val="002E4681"/>
    <w:rsid w:val="002F4E12"/>
    <w:rsid w:val="0031479C"/>
    <w:rsid w:val="0032012E"/>
    <w:rsid w:val="0033114C"/>
    <w:rsid w:val="00337076"/>
    <w:rsid w:val="00343E47"/>
    <w:rsid w:val="00347632"/>
    <w:rsid w:val="00354E94"/>
    <w:rsid w:val="00367F70"/>
    <w:rsid w:val="00375D79"/>
    <w:rsid w:val="003A3A22"/>
    <w:rsid w:val="003C042E"/>
    <w:rsid w:val="003C3DD8"/>
    <w:rsid w:val="003E6660"/>
    <w:rsid w:val="003F2BBB"/>
    <w:rsid w:val="00402828"/>
    <w:rsid w:val="00406738"/>
    <w:rsid w:val="00420E6D"/>
    <w:rsid w:val="004255FC"/>
    <w:rsid w:val="004315E6"/>
    <w:rsid w:val="004930D1"/>
    <w:rsid w:val="00493285"/>
    <w:rsid w:val="00497B8A"/>
    <w:rsid w:val="004A099A"/>
    <w:rsid w:val="004D073C"/>
    <w:rsid w:val="004E7512"/>
    <w:rsid w:val="004F1498"/>
    <w:rsid w:val="0051084D"/>
    <w:rsid w:val="005205BA"/>
    <w:rsid w:val="0052649C"/>
    <w:rsid w:val="0053440E"/>
    <w:rsid w:val="005575B6"/>
    <w:rsid w:val="0056071E"/>
    <w:rsid w:val="00560C03"/>
    <w:rsid w:val="00565499"/>
    <w:rsid w:val="00580853"/>
    <w:rsid w:val="005872AC"/>
    <w:rsid w:val="005A0BFB"/>
    <w:rsid w:val="005B78A0"/>
    <w:rsid w:val="005D41EB"/>
    <w:rsid w:val="005D4429"/>
    <w:rsid w:val="005E52E0"/>
    <w:rsid w:val="005E60B3"/>
    <w:rsid w:val="005F3A40"/>
    <w:rsid w:val="005F5054"/>
    <w:rsid w:val="005F6AE0"/>
    <w:rsid w:val="00602C9E"/>
    <w:rsid w:val="0060541E"/>
    <w:rsid w:val="006118F8"/>
    <w:rsid w:val="00614511"/>
    <w:rsid w:val="0062149F"/>
    <w:rsid w:val="0062586D"/>
    <w:rsid w:val="0065244C"/>
    <w:rsid w:val="0068057A"/>
    <w:rsid w:val="00684B11"/>
    <w:rsid w:val="00686ADD"/>
    <w:rsid w:val="00694309"/>
    <w:rsid w:val="006A4F6E"/>
    <w:rsid w:val="006B1DA5"/>
    <w:rsid w:val="006D15DA"/>
    <w:rsid w:val="006E4CBB"/>
    <w:rsid w:val="006F47EF"/>
    <w:rsid w:val="006F48A3"/>
    <w:rsid w:val="00713EDC"/>
    <w:rsid w:val="00740A94"/>
    <w:rsid w:val="00743C5B"/>
    <w:rsid w:val="00756010"/>
    <w:rsid w:val="007640D7"/>
    <w:rsid w:val="00771CC0"/>
    <w:rsid w:val="00776905"/>
    <w:rsid w:val="007B2DA7"/>
    <w:rsid w:val="007E275C"/>
    <w:rsid w:val="008143E9"/>
    <w:rsid w:val="00836511"/>
    <w:rsid w:val="00853E7E"/>
    <w:rsid w:val="0085642E"/>
    <w:rsid w:val="00862984"/>
    <w:rsid w:val="00872B66"/>
    <w:rsid w:val="008776C7"/>
    <w:rsid w:val="008E0CFF"/>
    <w:rsid w:val="008E69CB"/>
    <w:rsid w:val="008F4AD2"/>
    <w:rsid w:val="008F6B01"/>
    <w:rsid w:val="00921A49"/>
    <w:rsid w:val="00932A20"/>
    <w:rsid w:val="00933284"/>
    <w:rsid w:val="00935B4C"/>
    <w:rsid w:val="00935F5A"/>
    <w:rsid w:val="009378A1"/>
    <w:rsid w:val="009479FC"/>
    <w:rsid w:val="00952273"/>
    <w:rsid w:val="00953147"/>
    <w:rsid w:val="00981D41"/>
    <w:rsid w:val="00994A03"/>
    <w:rsid w:val="009959FB"/>
    <w:rsid w:val="009977FC"/>
    <w:rsid w:val="009A1C10"/>
    <w:rsid w:val="009B7455"/>
    <w:rsid w:val="009F584E"/>
    <w:rsid w:val="00A06E76"/>
    <w:rsid w:val="00A35ED4"/>
    <w:rsid w:val="00A40812"/>
    <w:rsid w:val="00A5053B"/>
    <w:rsid w:val="00A578F7"/>
    <w:rsid w:val="00A6215A"/>
    <w:rsid w:val="00A70427"/>
    <w:rsid w:val="00A777D0"/>
    <w:rsid w:val="00AA20EB"/>
    <w:rsid w:val="00AB6BB3"/>
    <w:rsid w:val="00AD3DB1"/>
    <w:rsid w:val="00B016A8"/>
    <w:rsid w:val="00B111A7"/>
    <w:rsid w:val="00B240FB"/>
    <w:rsid w:val="00B30436"/>
    <w:rsid w:val="00B36655"/>
    <w:rsid w:val="00B75638"/>
    <w:rsid w:val="00B81E3B"/>
    <w:rsid w:val="00B822DA"/>
    <w:rsid w:val="00B83423"/>
    <w:rsid w:val="00B91900"/>
    <w:rsid w:val="00BA4B4F"/>
    <w:rsid w:val="00BF7ADE"/>
    <w:rsid w:val="00C05DFD"/>
    <w:rsid w:val="00C06159"/>
    <w:rsid w:val="00C06BF1"/>
    <w:rsid w:val="00C25562"/>
    <w:rsid w:val="00C36DBA"/>
    <w:rsid w:val="00C56B64"/>
    <w:rsid w:val="00C60E49"/>
    <w:rsid w:val="00C61220"/>
    <w:rsid w:val="00C67A09"/>
    <w:rsid w:val="00C67D95"/>
    <w:rsid w:val="00C7306C"/>
    <w:rsid w:val="00C751A0"/>
    <w:rsid w:val="00C85D7C"/>
    <w:rsid w:val="00C959AF"/>
    <w:rsid w:val="00CA407E"/>
    <w:rsid w:val="00CF33E4"/>
    <w:rsid w:val="00D005CF"/>
    <w:rsid w:val="00D053C5"/>
    <w:rsid w:val="00D06A24"/>
    <w:rsid w:val="00D10983"/>
    <w:rsid w:val="00D25311"/>
    <w:rsid w:val="00D467AA"/>
    <w:rsid w:val="00D562F9"/>
    <w:rsid w:val="00D563DD"/>
    <w:rsid w:val="00D67016"/>
    <w:rsid w:val="00D779DB"/>
    <w:rsid w:val="00D80A72"/>
    <w:rsid w:val="00DB4671"/>
    <w:rsid w:val="00DC5264"/>
    <w:rsid w:val="00DC5917"/>
    <w:rsid w:val="00DF20F0"/>
    <w:rsid w:val="00DF7EB4"/>
    <w:rsid w:val="00E06826"/>
    <w:rsid w:val="00E07628"/>
    <w:rsid w:val="00E12BE9"/>
    <w:rsid w:val="00E41006"/>
    <w:rsid w:val="00E51824"/>
    <w:rsid w:val="00E55527"/>
    <w:rsid w:val="00E64661"/>
    <w:rsid w:val="00E73788"/>
    <w:rsid w:val="00EB0195"/>
    <w:rsid w:val="00EB080F"/>
    <w:rsid w:val="00EC31B8"/>
    <w:rsid w:val="00ED5F01"/>
    <w:rsid w:val="00EE717B"/>
    <w:rsid w:val="00F01D62"/>
    <w:rsid w:val="00F47943"/>
    <w:rsid w:val="00FA34FD"/>
    <w:rsid w:val="00FA4878"/>
    <w:rsid w:val="00FB3922"/>
    <w:rsid w:val="00FB691E"/>
    <w:rsid w:val="00FE55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C4E9"/>
  <w15:chartTrackingRefBased/>
  <w15:docId w15:val="{1D8D9C65-5224-43DA-9926-F4A97775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51FB"/>
    <w:pPr>
      <w:widowControl w:val="0"/>
      <w:suppressAutoHyphens/>
      <w:spacing w:after="0" w:line="240" w:lineRule="auto"/>
    </w:pPr>
    <w:rPr>
      <w:rFonts w:ascii="Nimbus Roman No9 L" w:eastAsia="DejaVu Sans" w:hAnsi="Nimbus Roman No9 L" w:cs="DejaVu Sans"/>
      <w:sz w:val="24"/>
      <w:szCs w:val="24"/>
      <w:lang w:val="en-GB"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sid w:val="002651FB"/>
    <w:rPr>
      <w:color w:val="000080"/>
      <w:u w:val="single"/>
    </w:rPr>
  </w:style>
  <w:style w:type="character" w:styleId="Tugev">
    <w:name w:val="Strong"/>
    <w:qFormat/>
    <w:rsid w:val="002651FB"/>
    <w:rPr>
      <w:b/>
      <w:bCs/>
    </w:rPr>
  </w:style>
  <w:style w:type="paragraph" w:customStyle="1" w:styleId="TableContents">
    <w:name w:val="Table Contents"/>
    <w:basedOn w:val="Kehatekst"/>
    <w:rsid w:val="002651FB"/>
  </w:style>
  <w:style w:type="paragraph" w:styleId="Kehatekst">
    <w:name w:val="Body Text"/>
    <w:basedOn w:val="Normaallaad"/>
    <w:link w:val="KehatekstMrk"/>
    <w:rsid w:val="002651FB"/>
    <w:pPr>
      <w:spacing w:after="283"/>
    </w:pPr>
  </w:style>
  <w:style w:type="character" w:customStyle="1" w:styleId="KehatekstMrk">
    <w:name w:val="Kehatekst Märk"/>
    <w:basedOn w:val="Liguvaikefont"/>
    <w:link w:val="Kehatekst"/>
    <w:rsid w:val="002651FB"/>
    <w:rPr>
      <w:rFonts w:ascii="Nimbus Roman No9 L" w:eastAsia="DejaVu Sans" w:hAnsi="Nimbus Roman No9 L" w:cs="DejaVu Sans"/>
      <w:sz w:val="24"/>
      <w:szCs w:val="24"/>
      <w:lang w:val="en-GB" w:eastAsia="zh-CN" w:bidi="hi-IN"/>
    </w:rPr>
  </w:style>
  <w:style w:type="character" w:styleId="Kommentaariviide">
    <w:name w:val="annotation reference"/>
    <w:basedOn w:val="Liguvaikefont"/>
    <w:uiPriority w:val="99"/>
    <w:semiHidden/>
    <w:unhideWhenUsed/>
    <w:rsid w:val="00D10983"/>
    <w:rPr>
      <w:sz w:val="16"/>
      <w:szCs w:val="16"/>
    </w:rPr>
  </w:style>
  <w:style w:type="paragraph" w:styleId="Kommentaaritekst">
    <w:name w:val="annotation text"/>
    <w:basedOn w:val="Normaallaad"/>
    <w:link w:val="KommentaaritekstMrk"/>
    <w:uiPriority w:val="99"/>
    <w:semiHidden/>
    <w:unhideWhenUsed/>
    <w:rsid w:val="00D10983"/>
    <w:rPr>
      <w:rFonts w:cs="Mangal"/>
      <w:sz w:val="20"/>
      <w:szCs w:val="18"/>
    </w:rPr>
  </w:style>
  <w:style w:type="character" w:customStyle="1" w:styleId="KommentaaritekstMrk">
    <w:name w:val="Kommentaari tekst Märk"/>
    <w:basedOn w:val="Liguvaikefont"/>
    <w:link w:val="Kommentaaritekst"/>
    <w:uiPriority w:val="99"/>
    <w:semiHidden/>
    <w:rsid w:val="00D10983"/>
    <w:rPr>
      <w:rFonts w:ascii="Nimbus Roman No9 L" w:eastAsia="DejaVu Sans" w:hAnsi="Nimbus Roman No9 L" w:cs="Mangal"/>
      <w:sz w:val="20"/>
      <w:szCs w:val="18"/>
      <w:lang w:val="en-GB" w:eastAsia="zh-CN" w:bidi="hi-IN"/>
    </w:rPr>
  </w:style>
  <w:style w:type="paragraph" w:styleId="Kommentaariteema">
    <w:name w:val="annotation subject"/>
    <w:basedOn w:val="Kommentaaritekst"/>
    <w:next w:val="Kommentaaritekst"/>
    <w:link w:val="KommentaariteemaMrk"/>
    <w:uiPriority w:val="99"/>
    <w:semiHidden/>
    <w:unhideWhenUsed/>
    <w:rsid w:val="00D10983"/>
    <w:rPr>
      <w:b/>
      <w:bCs/>
    </w:rPr>
  </w:style>
  <w:style w:type="character" w:customStyle="1" w:styleId="KommentaariteemaMrk">
    <w:name w:val="Kommentaari teema Märk"/>
    <w:basedOn w:val="KommentaaritekstMrk"/>
    <w:link w:val="Kommentaariteema"/>
    <w:uiPriority w:val="99"/>
    <w:semiHidden/>
    <w:rsid w:val="00D10983"/>
    <w:rPr>
      <w:rFonts w:ascii="Nimbus Roman No9 L" w:eastAsia="DejaVu Sans" w:hAnsi="Nimbus Roman No9 L" w:cs="Mangal"/>
      <w:b/>
      <w:bCs/>
      <w:sz w:val="20"/>
      <w:szCs w:val="18"/>
      <w:lang w:val="en-GB" w:eastAsia="zh-CN" w:bidi="hi-IN"/>
    </w:rPr>
  </w:style>
  <w:style w:type="paragraph" w:styleId="Jutumullitekst">
    <w:name w:val="Balloon Text"/>
    <w:basedOn w:val="Normaallaad"/>
    <w:link w:val="JutumullitekstMrk"/>
    <w:uiPriority w:val="99"/>
    <w:semiHidden/>
    <w:unhideWhenUsed/>
    <w:rsid w:val="00D10983"/>
    <w:rPr>
      <w:rFonts w:ascii="Segoe UI" w:hAnsi="Segoe UI" w:cs="Mangal"/>
      <w:sz w:val="18"/>
      <w:szCs w:val="16"/>
    </w:rPr>
  </w:style>
  <w:style w:type="character" w:customStyle="1" w:styleId="JutumullitekstMrk">
    <w:name w:val="Jutumullitekst Märk"/>
    <w:basedOn w:val="Liguvaikefont"/>
    <w:link w:val="Jutumullitekst"/>
    <w:uiPriority w:val="99"/>
    <w:semiHidden/>
    <w:rsid w:val="00D10983"/>
    <w:rPr>
      <w:rFonts w:ascii="Segoe UI" w:eastAsia="DejaVu Sans" w:hAnsi="Segoe UI" w:cs="Mangal"/>
      <w:sz w:val="18"/>
      <w:szCs w:val="16"/>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iigiteataja.ee/akt/32002201800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4035F9434F06498CCB44DCB0B0EDCE" ma:contentTypeVersion="11" ma:contentTypeDescription="Create a new document." ma:contentTypeScope="" ma:versionID="23c360b36fa1e546c1cfdbe888bb7055">
  <xsd:schema xmlns:xsd="http://www.w3.org/2001/XMLSchema" xmlns:xs="http://www.w3.org/2001/XMLSchema" xmlns:p="http://schemas.microsoft.com/office/2006/metadata/properties" xmlns:ns3="beaefac9-6f06-4daa-823d-70eb0d9fd10b" xmlns:ns4="b8871c6c-b4d9-4bc3-9551-ddcc5b7c6f95" targetNamespace="http://schemas.microsoft.com/office/2006/metadata/properties" ma:root="true" ma:fieldsID="5459fa6266414cde2dc50f277185d753" ns3:_="" ns4:_="">
    <xsd:import namespace="beaefac9-6f06-4daa-823d-70eb0d9fd10b"/>
    <xsd:import namespace="b8871c6c-b4d9-4bc3-9551-ddcc5b7c6f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efac9-6f06-4daa-823d-70eb0d9fd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71c6c-b4d9-4bc3-9551-ddcc5b7c6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119A-4911-4A0B-82E5-82A46CAB7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2C378-2576-47D8-A158-C5C62D1A9713}">
  <ds:schemaRefs>
    <ds:schemaRef ds:uri="http://schemas.microsoft.com/sharepoint/v3/contenttype/forms"/>
  </ds:schemaRefs>
</ds:datastoreItem>
</file>

<file path=customXml/itemProps3.xml><?xml version="1.0" encoding="utf-8"?>
<ds:datastoreItem xmlns:ds="http://schemas.openxmlformats.org/officeDocument/2006/customXml" ds:itemID="{327D525A-48D2-49C8-84C4-7461D6E4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efac9-6f06-4daa-823d-70eb0d9fd10b"/>
    <ds:schemaRef ds:uri="b8871c6c-b4d9-4bc3-9551-ddcc5b7c6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E0B7E-7D3E-422A-864B-2FF4DC3E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4568</Words>
  <Characters>26498</Characters>
  <Application>Microsoft Office Word</Application>
  <DocSecurity>0</DocSecurity>
  <Lines>220</Lines>
  <Paragraphs>62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Tiit Kirss</dc:creator>
  <cp:keywords/>
  <dc:description/>
  <cp:lastModifiedBy>Inga Köster</cp:lastModifiedBy>
  <cp:revision>207</cp:revision>
  <dcterms:created xsi:type="dcterms:W3CDTF">2019-11-09T13:08:00Z</dcterms:created>
  <dcterms:modified xsi:type="dcterms:W3CDTF">2019-11-15T11:21:00Z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0x010100234035F9434F06498CCB44DCB0B0EDCE</vt:lpwstr>
  </property>
</Properties>
</file>