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5AC3D" w14:textId="77777777" w:rsidR="000A56D1" w:rsidRDefault="0033223C" w:rsidP="00823AF0">
      <w:pPr>
        <w:pStyle w:val="NoSpacing"/>
        <w:jc w:val="center"/>
        <w:rPr>
          <w:rStyle w:val="Strong"/>
          <w:noProof/>
          <w:lang w:val="et-EE"/>
        </w:rPr>
      </w:pPr>
      <w:bookmarkStart w:id="0" w:name="_GoBack"/>
      <w:bookmarkEnd w:id="0"/>
      <w:r w:rsidRPr="00757220">
        <w:rPr>
          <w:rStyle w:val="Strong"/>
          <w:noProof/>
          <w:lang w:val="et-EE"/>
        </w:rPr>
        <w:t>ELVL ettepanekud 20</w:t>
      </w:r>
      <w:r w:rsidR="002F4ADE" w:rsidRPr="00757220">
        <w:rPr>
          <w:rStyle w:val="Strong"/>
          <w:noProof/>
          <w:lang w:val="et-EE"/>
        </w:rPr>
        <w:t>21</w:t>
      </w:r>
      <w:r w:rsidR="002365E2">
        <w:rPr>
          <w:rStyle w:val="Strong"/>
          <w:noProof/>
          <w:lang w:val="et-EE"/>
        </w:rPr>
        <w:t>.</w:t>
      </w:r>
      <w:r w:rsidRPr="00757220">
        <w:rPr>
          <w:rStyle w:val="Strong"/>
          <w:noProof/>
          <w:lang w:val="et-EE"/>
        </w:rPr>
        <w:t xml:space="preserve"> aasta komisjonide eelarveläbirääkimistele</w:t>
      </w:r>
    </w:p>
    <w:p w14:paraId="7CCD7C8B" w14:textId="77777777" w:rsidR="0033223C" w:rsidRPr="00757220" w:rsidRDefault="0033223C">
      <w:pPr>
        <w:pStyle w:val="BodyText"/>
        <w:rPr>
          <w:noProof/>
          <w:lang w:val="et-EE"/>
        </w:rPr>
      </w:pPr>
      <w:r w:rsidRPr="00757220">
        <w:rPr>
          <w:noProof/>
          <w:lang w:val="et-EE"/>
        </w:rPr>
        <w:t> </w:t>
      </w:r>
    </w:p>
    <w:p w14:paraId="722FDF46" w14:textId="77777777" w:rsidR="0033223C" w:rsidRPr="00757220" w:rsidRDefault="00D365F4">
      <w:pPr>
        <w:pStyle w:val="BodyText"/>
        <w:rPr>
          <w:noProof/>
          <w:lang w:val="et-EE"/>
        </w:rPr>
      </w:pPr>
      <w:bookmarkStart w:id="1" w:name="kultuur_sport"/>
      <w:bookmarkEnd w:id="1"/>
      <w:r>
        <w:rPr>
          <w:rStyle w:val="Strong"/>
          <w:noProof/>
          <w:lang w:val="et-EE"/>
        </w:rPr>
        <w:t>Kultuuri- ja spordi</w:t>
      </w:r>
      <w:r w:rsidR="0033223C" w:rsidRPr="00757220">
        <w:rPr>
          <w:rStyle w:val="Strong"/>
          <w:noProof/>
          <w:lang w:val="et-EE"/>
        </w:rPr>
        <w:t>valdkond</w:t>
      </w:r>
      <w:r w:rsidR="0059493E" w:rsidRPr="00757220">
        <w:rPr>
          <w:rStyle w:val="Strong"/>
          <w:noProof/>
          <w:lang w:val="et-EE"/>
        </w:rPr>
        <w:t xml:space="preserve"> (</w:t>
      </w:r>
      <w:r>
        <w:rPr>
          <w:rStyle w:val="Strong"/>
          <w:noProof/>
          <w:lang w:val="et-EE"/>
        </w:rPr>
        <w:t>KS</w:t>
      </w:r>
      <w:r w:rsidR="0059493E" w:rsidRPr="00757220">
        <w:rPr>
          <w:rStyle w:val="Strong"/>
          <w:noProof/>
          <w:lang w:val="et-EE"/>
        </w:rPr>
        <w:t>)</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5417"/>
      </w:tblGrid>
      <w:tr w:rsidR="00A42129" w:rsidRPr="002D4CB3" w14:paraId="7E26FE28" w14:textId="77777777" w:rsidTr="002D4CB3">
        <w:tc>
          <w:tcPr>
            <w:tcW w:w="675" w:type="dxa"/>
            <w:shd w:val="clear" w:color="auto" w:fill="auto"/>
          </w:tcPr>
          <w:p w14:paraId="31956728" w14:textId="77777777" w:rsidR="00A42129" w:rsidRPr="002D4CB3" w:rsidRDefault="00A42129" w:rsidP="00A42129">
            <w:pPr>
              <w:pStyle w:val="BodyText"/>
              <w:rPr>
                <w:noProof/>
                <w:lang w:val="et-EE"/>
              </w:rPr>
            </w:pPr>
            <w:r w:rsidRPr="002D4CB3">
              <w:rPr>
                <w:noProof/>
                <w:lang w:val="et-EE"/>
              </w:rPr>
              <w:t>Jrk</w:t>
            </w:r>
          </w:p>
        </w:tc>
        <w:tc>
          <w:tcPr>
            <w:tcW w:w="4253" w:type="dxa"/>
            <w:shd w:val="clear" w:color="auto" w:fill="auto"/>
          </w:tcPr>
          <w:p w14:paraId="4BA34492" w14:textId="77777777" w:rsidR="00A42129" w:rsidRPr="002D4CB3" w:rsidRDefault="00A42129" w:rsidP="00BC6595">
            <w:pPr>
              <w:jc w:val="both"/>
              <w:rPr>
                <w:noProof/>
                <w:lang w:val="et-EE"/>
              </w:rPr>
            </w:pPr>
            <w:r w:rsidRPr="002D4CB3">
              <w:rPr>
                <w:b/>
                <w:bCs/>
                <w:noProof/>
                <w:lang w:val="et-EE"/>
              </w:rPr>
              <w:t xml:space="preserve">ELVL </w:t>
            </w:r>
            <w:r w:rsidR="002365E2" w:rsidRPr="002D4CB3">
              <w:rPr>
                <w:b/>
                <w:bCs/>
                <w:noProof/>
                <w:lang w:val="et-EE"/>
              </w:rPr>
              <w:t>e</w:t>
            </w:r>
            <w:r w:rsidRPr="002D4CB3">
              <w:rPr>
                <w:b/>
                <w:bCs/>
                <w:noProof/>
                <w:lang w:val="et-EE"/>
              </w:rPr>
              <w:t>ttepanekud</w:t>
            </w:r>
            <w:r w:rsidRPr="002D4CB3">
              <w:rPr>
                <w:noProof/>
                <w:lang w:val="et-EE"/>
              </w:rPr>
              <w:t xml:space="preserve"> </w:t>
            </w:r>
          </w:p>
          <w:p w14:paraId="518A631D" w14:textId="77777777" w:rsidR="00A42129" w:rsidRPr="002D4CB3" w:rsidRDefault="00A42129" w:rsidP="00BC6595">
            <w:pPr>
              <w:jc w:val="both"/>
              <w:rPr>
                <w:noProof/>
                <w:lang w:val="et-EE"/>
              </w:rPr>
            </w:pPr>
          </w:p>
        </w:tc>
        <w:tc>
          <w:tcPr>
            <w:tcW w:w="5417" w:type="dxa"/>
            <w:shd w:val="clear" w:color="auto" w:fill="auto"/>
          </w:tcPr>
          <w:p w14:paraId="450933B7" w14:textId="77777777" w:rsidR="00A42129" w:rsidRPr="002D4CB3" w:rsidRDefault="00A42129" w:rsidP="00BC6595">
            <w:pPr>
              <w:jc w:val="both"/>
              <w:rPr>
                <w:b/>
                <w:bCs/>
                <w:noProof/>
                <w:lang w:val="et-EE"/>
              </w:rPr>
            </w:pPr>
            <w:r w:rsidRPr="002D4CB3">
              <w:rPr>
                <w:b/>
                <w:bCs/>
                <w:noProof/>
                <w:lang w:val="et-EE"/>
              </w:rPr>
              <w:t>Põhjendused</w:t>
            </w:r>
          </w:p>
          <w:p w14:paraId="0D11C7B4" w14:textId="77777777" w:rsidR="00A42129" w:rsidRPr="002D4CB3" w:rsidRDefault="00A42129" w:rsidP="00BC6595">
            <w:pPr>
              <w:jc w:val="both"/>
              <w:rPr>
                <w:i/>
                <w:iCs/>
                <w:noProof/>
                <w:color w:val="FF0000"/>
                <w:lang w:val="et-EE"/>
              </w:rPr>
            </w:pPr>
          </w:p>
        </w:tc>
      </w:tr>
      <w:tr w:rsidR="007A161F" w:rsidRPr="002D4CB3" w14:paraId="0349AF02" w14:textId="77777777" w:rsidTr="002D4CB3">
        <w:tc>
          <w:tcPr>
            <w:tcW w:w="675" w:type="dxa"/>
            <w:shd w:val="clear" w:color="auto" w:fill="auto"/>
          </w:tcPr>
          <w:p w14:paraId="38F14675" w14:textId="77777777" w:rsidR="007A161F" w:rsidRPr="002D4CB3" w:rsidRDefault="007A161F" w:rsidP="00A42129">
            <w:pPr>
              <w:pStyle w:val="BodyText"/>
              <w:rPr>
                <w:noProof/>
                <w:lang w:val="et-EE"/>
              </w:rPr>
            </w:pPr>
            <w:r w:rsidRPr="002D4CB3">
              <w:rPr>
                <w:noProof/>
                <w:lang w:val="et-EE"/>
              </w:rPr>
              <w:t>1.</w:t>
            </w:r>
          </w:p>
        </w:tc>
        <w:tc>
          <w:tcPr>
            <w:tcW w:w="4253" w:type="dxa"/>
            <w:shd w:val="clear" w:color="auto" w:fill="auto"/>
          </w:tcPr>
          <w:p w14:paraId="1B28CF26" w14:textId="77777777" w:rsidR="00626A14" w:rsidRPr="00626A14" w:rsidRDefault="00626A14" w:rsidP="00BC6595">
            <w:pPr>
              <w:pStyle w:val="NormalWeb"/>
              <w:spacing w:after="150"/>
              <w:jc w:val="both"/>
              <w:rPr>
                <w:noProof/>
                <w:color w:val="333333"/>
              </w:rPr>
            </w:pPr>
            <w:r w:rsidRPr="00626A14">
              <w:rPr>
                <w:noProof/>
                <w:color w:val="333333"/>
              </w:rPr>
              <w:t>Tagada riigipoolne järjepidev tegevustoetus KOVdele laulu- ja tantsupeotraditsiooni säilimise ja jätkusuutlikkuse osas, sh:</w:t>
            </w:r>
          </w:p>
          <w:p w14:paraId="079F93B7" w14:textId="77777777" w:rsidR="00626A14" w:rsidRPr="00626A14" w:rsidRDefault="00626A14" w:rsidP="00BC6595">
            <w:pPr>
              <w:pStyle w:val="NormalWeb"/>
              <w:spacing w:after="150"/>
              <w:jc w:val="both"/>
              <w:rPr>
                <w:noProof/>
                <w:color w:val="333333"/>
              </w:rPr>
            </w:pPr>
            <w:r w:rsidRPr="00626A14">
              <w:rPr>
                <w:noProof/>
                <w:color w:val="333333"/>
              </w:rPr>
              <w:t>1)</w:t>
            </w:r>
            <w:r w:rsidRPr="00626A14">
              <w:rPr>
                <w:noProof/>
                <w:color w:val="333333"/>
              </w:rPr>
              <w:tab/>
              <w:t>rahvatantsurühmade, kooride ja rahvamuusikakollektiivide ning orkestrite rahastamismudeli analüüsi tulemuste põhjal koostöömudeli väljatöötamine kvalifitseeritud juhendajate tasustamise toetamiseks.</w:t>
            </w:r>
          </w:p>
          <w:p w14:paraId="0FF27BB8" w14:textId="77777777" w:rsidR="00626A14" w:rsidRPr="00626A14" w:rsidRDefault="00626A14" w:rsidP="00BC6595">
            <w:pPr>
              <w:pStyle w:val="NormalWeb"/>
              <w:spacing w:after="150"/>
              <w:jc w:val="both"/>
              <w:rPr>
                <w:noProof/>
                <w:color w:val="333333"/>
              </w:rPr>
            </w:pPr>
            <w:r w:rsidRPr="00626A14">
              <w:rPr>
                <w:noProof/>
                <w:color w:val="333333"/>
              </w:rPr>
              <w:t>2)</w:t>
            </w:r>
            <w:r w:rsidRPr="00626A14">
              <w:rPr>
                <w:noProof/>
                <w:color w:val="333333"/>
              </w:rPr>
              <w:tab/>
              <w:t>lahendamist vajab laulu- ja tantsupeo protsessi korraldavate regionaalsete koordinaatorite töötasu ja -korralduslikud küsimused.</w:t>
            </w:r>
          </w:p>
          <w:p w14:paraId="64810A13" w14:textId="77777777" w:rsidR="007A161F" w:rsidRPr="00655805" w:rsidRDefault="00626A14" w:rsidP="00BC6595">
            <w:pPr>
              <w:pStyle w:val="NormalWeb"/>
              <w:spacing w:after="150"/>
              <w:jc w:val="both"/>
              <w:rPr>
                <w:noProof/>
                <w:color w:val="333333"/>
              </w:rPr>
            </w:pPr>
            <w:r w:rsidRPr="00626A14">
              <w:rPr>
                <w:noProof/>
                <w:color w:val="333333"/>
              </w:rPr>
              <w:t>3)</w:t>
            </w:r>
            <w:r w:rsidRPr="00626A14">
              <w:rPr>
                <w:noProof/>
                <w:color w:val="333333"/>
              </w:rPr>
              <w:tab/>
              <w:t>eraldada täiendavad vahendid KOVdele  rahvarõivaste soetamise toetuseks (nt luua võimalus KOVdele toetuse taotlemiseks)</w:t>
            </w:r>
            <w:r w:rsidRPr="00626A14">
              <w:rPr>
                <w:noProof/>
                <w:color w:val="333333"/>
              </w:rPr>
              <w:tab/>
            </w:r>
          </w:p>
        </w:tc>
        <w:tc>
          <w:tcPr>
            <w:tcW w:w="5417" w:type="dxa"/>
            <w:shd w:val="clear" w:color="auto" w:fill="auto"/>
          </w:tcPr>
          <w:p w14:paraId="456C58A3" w14:textId="77777777" w:rsidR="00BD1445" w:rsidRPr="00626A14" w:rsidRDefault="00BD1445" w:rsidP="00BC6595">
            <w:pPr>
              <w:pStyle w:val="NormalWeb"/>
              <w:spacing w:after="150"/>
              <w:jc w:val="both"/>
              <w:rPr>
                <w:noProof/>
                <w:color w:val="333333"/>
              </w:rPr>
            </w:pPr>
            <w:r w:rsidRPr="00626A14">
              <w:rPr>
                <w:noProof/>
                <w:color w:val="333333"/>
              </w:rPr>
              <w:t>Laulu- ja tantsupeo protsessis osalevate kollektiivide tegevustoetusprogramm on hooajapõhine ning toetuse suurus on madal ning igal hooajal lähtub riigieelarve eraldisest.</w:t>
            </w:r>
          </w:p>
          <w:p w14:paraId="689147F8" w14:textId="77777777" w:rsidR="00BD1445" w:rsidRPr="00626A14" w:rsidRDefault="00BD1445" w:rsidP="00BC6595">
            <w:pPr>
              <w:pStyle w:val="NormalWeb"/>
              <w:spacing w:after="150"/>
              <w:jc w:val="both"/>
              <w:rPr>
                <w:noProof/>
                <w:color w:val="333333"/>
              </w:rPr>
            </w:pPr>
            <w:r w:rsidRPr="00626A14">
              <w:rPr>
                <w:noProof/>
                <w:color w:val="333333"/>
              </w:rPr>
              <w:t>Tegevustoetusprogramm ei taga KOV tasandil kõikjal koori- ja tantsujuhtide olemasolu, mis seab ohtu kollektiivide järelkasvu ja laulu- ja tantsupeo traditsiooni jätkumise.</w:t>
            </w:r>
          </w:p>
          <w:p w14:paraId="2882DE5F" w14:textId="77777777" w:rsidR="00BD1445" w:rsidRPr="00626A14" w:rsidRDefault="00BD1445" w:rsidP="00BC6595">
            <w:pPr>
              <w:pStyle w:val="NormalWeb"/>
              <w:spacing w:after="150"/>
              <w:jc w:val="both"/>
              <w:rPr>
                <w:noProof/>
                <w:color w:val="333333"/>
              </w:rPr>
            </w:pPr>
            <w:r w:rsidRPr="00626A14">
              <w:rPr>
                <w:noProof/>
                <w:color w:val="333333"/>
              </w:rPr>
              <w:t xml:space="preserve">Viia kollektiivijuhtide tasustamise põhimõtted sarnastele alustele treenerite toetussüsteemiga ning kaasata ELVL kultuuri- ja spordivaldkonna töörühm  kollektiivide juhtide rahastamismudeli väljatöötamisse. </w:t>
            </w:r>
          </w:p>
          <w:p w14:paraId="3F999DDB" w14:textId="77777777" w:rsidR="002B0AE4" w:rsidRPr="00655805" w:rsidRDefault="00BD1445" w:rsidP="00BC6595">
            <w:pPr>
              <w:pStyle w:val="NormalWeb"/>
              <w:spacing w:before="0" w:beforeAutospacing="0" w:after="150" w:afterAutospacing="0"/>
              <w:jc w:val="both"/>
              <w:rPr>
                <w:noProof/>
                <w:color w:val="333333"/>
              </w:rPr>
            </w:pPr>
            <w:r w:rsidRPr="00626A14">
              <w:rPr>
                <w:noProof/>
                <w:color w:val="333333"/>
              </w:rPr>
              <w:t>Autentsete rahvarõiva komplektide soetamine kollektiividele on KOVde ja osalejate jaoks kulukas tegevus.</w:t>
            </w:r>
            <w:r w:rsidRPr="002D4CB3">
              <w:rPr>
                <w:noProof/>
                <w:color w:val="333333"/>
              </w:rPr>
              <w:t> </w:t>
            </w:r>
            <w:r w:rsidRPr="002D4CB3">
              <w:rPr>
                <w:i/>
                <w:iCs/>
                <w:noProof/>
                <w:color w:val="FF0000"/>
              </w:rPr>
              <w:t xml:space="preserve"> </w:t>
            </w:r>
          </w:p>
        </w:tc>
      </w:tr>
      <w:tr w:rsidR="00A42129" w:rsidRPr="002D4CB3" w14:paraId="6D0B85B3" w14:textId="77777777" w:rsidTr="002D4CB3">
        <w:tc>
          <w:tcPr>
            <w:tcW w:w="675" w:type="dxa"/>
            <w:shd w:val="clear" w:color="auto" w:fill="auto"/>
          </w:tcPr>
          <w:p w14:paraId="3CCB880A" w14:textId="77777777" w:rsidR="00A42129" w:rsidRPr="002D4CB3" w:rsidRDefault="007A161F" w:rsidP="007A161F">
            <w:pPr>
              <w:pStyle w:val="BodyText"/>
              <w:rPr>
                <w:noProof/>
                <w:lang w:val="et-EE"/>
              </w:rPr>
            </w:pPr>
            <w:r w:rsidRPr="002D4CB3">
              <w:rPr>
                <w:noProof/>
                <w:lang w:val="et-EE"/>
              </w:rPr>
              <w:t>2.</w:t>
            </w:r>
          </w:p>
        </w:tc>
        <w:tc>
          <w:tcPr>
            <w:tcW w:w="4253" w:type="dxa"/>
            <w:shd w:val="clear" w:color="auto" w:fill="auto"/>
          </w:tcPr>
          <w:p w14:paraId="672EB6D5" w14:textId="77777777" w:rsidR="00A42129" w:rsidRPr="002D4CB3" w:rsidRDefault="002C40FE" w:rsidP="00BC6595">
            <w:pPr>
              <w:jc w:val="both"/>
              <w:rPr>
                <w:noProof/>
                <w:lang w:val="et-EE"/>
              </w:rPr>
            </w:pPr>
            <w:r w:rsidRPr="002C40FE">
              <w:rPr>
                <w:noProof/>
                <w:lang w:val="et-EE"/>
              </w:rPr>
              <w:t>Suurendada vahendeid ujumise algõpetuse läbiviimiseks, täpsemalt transpordikulude katmiseks.</w:t>
            </w:r>
          </w:p>
        </w:tc>
        <w:tc>
          <w:tcPr>
            <w:tcW w:w="5417" w:type="dxa"/>
            <w:shd w:val="clear" w:color="auto" w:fill="auto"/>
          </w:tcPr>
          <w:p w14:paraId="0628FA00" w14:textId="77777777" w:rsidR="00CF4AB7" w:rsidRPr="002D4CB3" w:rsidRDefault="002C40FE" w:rsidP="00BC6595">
            <w:pPr>
              <w:jc w:val="both"/>
              <w:rPr>
                <w:noProof/>
                <w:lang w:val="et-EE"/>
              </w:rPr>
            </w:pPr>
            <w:r w:rsidRPr="002C40FE">
              <w:rPr>
                <w:noProof/>
                <w:lang w:val="et-EE"/>
              </w:rPr>
              <w:t>Vaadata üle toetuse eraldamise põhimõtted arvestades KOVde transpordikulude kasvu. Seejuures peaks  arvestama rohkem vahendeid hajaasustuse piirkondadele ning arvestades kaugust ujumisvõimalustele.</w:t>
            </w:r>
          </w:p>
        </w:tc>
      </w:tr>
      <w:tr w:rsidR="00A42129" w:rsidRPr="002D4CB3" w14:paraId="5148E775" w14:textId="77777777" w:rsidTr="002D4CB3">
        <w:tc>
          <w:tcPr>
            <w:tcW w:w="675" w:type="dxa"/>
            <w:shd w:val="clear" w:color="auto" w:fill="auto"/>
          </w:tcPr>
          <w:p w14:paraId="6E150A9A" w14:textId="77777777" w:rsidR="00A42129" w:rsidRPr="002D4CB3" w:rsidRDefault="007A161F" w:rsidP="00A42129">
            <w:pPr>
              <w:pStyle w:val="BodyText"/>
              <w:rPr>
                <w:noProof/>
                <w:lang w:val="et-EE"/>
              </w:rPr>
            </w:pPr>
            <w:r w:rsidRPr="002D4CB3">
              <w:rPr>
                <w:noProof/>
                <w:lang w:val="et-EE"/>
              </w:rPr>
              <w:t>3.</w:t>
            </w:r>
          </w:p>
        </w:tc>
        <w:tc>
          <w:tcPr>
            <w:tcW w:w="4253" w:type="dxa"/>
            <w:shd w:val="clear" w:color="auto" w:fill="auto"/>
          </w:tcPr>
          <w:p w14:paraId="3844A969" w14:textId="77777777" w:rsidR="002C40FE" w:rsidRPr="002F4ADE" w:rsidRDefault="002C40FE" w:rsidP="00BC6595">
            <w:pPr>
              <w:pStyle w:val="TableContents"/>
              <w:spacing w:after="0"/>
              <w:jc w:val="both"/>
              <w:rPr>
                <w:lang w:val="et-EE"/>
              </w:rPr>
            </w:pPr>
            <w:r>
              <w:rPr>
                <w:lang w:val="et-EE"/>
              </w:rPr>
              <w:t>K</w:t>
            </w:r>
            <w:r w:rsidRPr="002F4ADE">
              <w:rPr>
                <w:lang w:val="et-EE"/>
              </w:rPr>
              <w:t>ahekordistada vahendeid rahvaraamatukogude teavikute soetamiseks ja raamatukogusüsteemi arendamiseks, samuti toetuse eraldamist teavikute transpordiks. </w:t>
            </w:r>
          </w:p>
          <w:p w14:paraId="3D23F78A" w14:textId="77777777" w:rsidR="00A42129" w:rsidRPr="002D4CB3" w:rsidRDefault="002C40FE" w:rsidP="00BC6595">
            <w:pPr>
              <w:jc w:val="both"/>
              <w:rPr>
                <w:noProof/>
                <w:lang w:val="et-EE"/>
              </w:rPr>
            </w:pPr>
            <w:r w:rsidRPr="002F4ADE">
              <w:rPr>
                <w:lang w:val="et-EE"/>
              </w:rPr>
              <w:t> </w:t>
            </w:r>
          </w:p>
        </w:tc>
        <w:tc>
          <w:tcPr>
            <w:tcW w:w="5417" w:type="dxa"/>
            <w:shd w:val="clear" w:color="auto" w:fill="auto"/>
          </w:tcPr>
          <w:p w14:paraId="27DC2D2B" w14:textId="77777777" w:rsidR="007F0A69" w:rsidRPr="007F0A69" w:rsidRDefault="007F0A69" w:rsidP="00BC6595">
            <w:pPr>
              <w:jc w:val="both"/>
              <w:rPr>
                <w:noProof/>
                <w:lang w:val="et-EE"/>
              </w:rPr>
            </w:pPr>
            <w:r w:rsidRPr="007F0A69">
              <w:rPr>
                <w:noProof/>
                <w:lang w:val="et-EE"/>
              </w:rPr>
              <w:t xml:space="preserve">Tänased eraldised rahvaraamatukogudele on jäänud samasse suurusjärku eelmiste aastate tasemega, need ei ole piisavad valdkonna jätkusuutlikuks rahastamiseks. Samas on teavikute hinnatase märkimisväärselt tõusnud ning suurenenud on ka elanike ootused uute raamatukogu poolt pakutavate lisateenuste järele. </w:t>
            </w:r>
          </w:p>
          <w:p w14:paraId="44BDA1C3" w14:textId="77777777" w:rsidR="007F0A69" w:rsidRPr="007F0A69" w:rsidRDefault="007F0A69" w:rsidP="00BC6595">
            <w:pPr>
              <w:jc w:val="both"/>
              <w:rPr>
                <w:noProof/>
                <w:lang w:val="et-EE"/>
              </w:rPr>
            </w:pPr>
            <w:r w:rsidRPr="007F0A69">
              <w:rPr>
                <w:noProof/>
                <w:lang w:val="et-EE"/>
              </w:rPr>
              <w:t>Transpordikulud teavikute transpordiks on senini  KOVdele katmata.</w:t>
            </w:r>
          </w:p>
          <w:p w14:paraId="39F39932" w14:textId="77777777" w:rsidR="00CF4AB7" w:rsidRPr="002D4CB3" w:rsidRDefault="00CF4AB7" w:rsidP="00BC6595">
            <w:pPr>
              <w:jc w:val="both"/>
              <w:rPr>
                <w:noProof/>
                <w:lang w:val="et-EE"/>
              </w:rPr>
            </w:pPr>
          </w:p>
        </w:tc>
      </w:tr>
      <w:tr w:rsidR="00A42129" w:rsidRPr="002D4CB3" w14:paraId="04540D9E" w14:textId="77777777" w:rsidTr="002D4CB3">
        <w:tc>
          <w:tcPr>
            <w:tcW w:w="675" w:type="dxa"/>
            <w:shd w:val="clear" w:color="auto" w:fill="auto"/>
          </w:tcPr>
          <w:p w14:paraId="74E45A9A" w14:textId="77777777" w:rsidR="00A42129" w:rsidRPr="002D4CB3" w:rsidRDefault="007A161F" w:rsidP="00A42129">
            <w:pPr>
              <w:pStyle w:val="BodyText"/>
              <w:rPr>
                <w:noProof/>
                <w:lang w:val="et-EE"/>
              </w:rPr>
            </w:pPr>
            <w:r w:rsidRPr="002D4CB3">
              <w:rPr>
                <w:noProof/>
                <w:lang w:val="et-EE"/>
              </w:rPr>
              <w:t xml:space="preserve">4. </w:t>
            </w:r>
          </w:p>
        </w:tc>
        <w:tc>
          <w:tcPr>
            <w:tcW w:w="4253" w:type="dxa"/>
            <w:shd w:val="clear" w:color="auto" w:fill="auto"/>
          </w:tcPr>
          <w:p w14:paraId="7774C3BF" w14:textId="77777777" w:rsidR="00B74650" w:rsidRPr="00B74650" w:rsidRDefault="00B74650" w:rsidP="00BC6595">
            <w:pPr>
              <w:jc w:val="both"/>
              <w:rPr>
                <w:noProof/>
                <w:lang w:val="et-EE"/>
              </w:rPr>
            </w:pPr>
            <w:r w:rsidRPr="00B74650">
              <w:rPr>
                <w:noProof/>
                <w:lang w:val="et-EE"/>
              </w:rPr>
              <w:t>Suurendada kahekordselt vahendeid muinsuskaitseobjektide toetuseks. Muinsuskaitse all olevate kultuuriväärtuste säilimine peab olema kõrgendatud riikliku tähelepanu all. </w:t>
            </w:r>
          </w:p>
          <w:p w14:paraId="558675B0" w14:textId="77777777" w:rsidR="00A42129" w:rsidRPr="002D4CB3" w:rsidRDefault="00A42129" w:rsidP="00BC6595">
            <w:pPr>
              <w:jc w:val="both"/>
              <w:rPr>
                <w:noProof/>
                <w:lang w:val="et-EE"/>
              </w:rPr>
            </w:pPr>
          </w:p>
        </w:tc>
        <w:tc>
          <w:tcPr>
            <w:tcW w:w="5417" w:type="dxa"/>
            <w:shd w:val="clear" w:color="auto" w:fill="auto"/>
          </w:tcPr>
          <w:p w14:paraId="225DD228" w14:textId="77777777" w:rsidR="00CF4AB7" w:rsidRPr="002D4CB3" w:rsidRDefault="00B74650" w:rsidP="00BC6595">
            <w:pPr>
              <w:jc w:val="both"/>
              <w:rPr>
                <w:noProof/>
                <w:lang w:val="et-EE"/>
              </w:rPr>
            </w:pPr>
            <w:r w:rsidRPr="00B74650">
              <w:rPr>
                <w:noProof/>
                <w:lang w:val="et-EE"/>
              </w:rPr>
              <w:t>Eraldatud vahendid ei kata tegelikke vajadusi. Tekkinud on  olukord, kus ühelt poolt on riik objektide kaitse alla võtmisega deklareerinud, et nende säilimine on riiklik huvi, samas kõik kohustused objektide säilimise tagamiseks on pandud omanikule</w:t>
            </w:r>
            <w:r>
              <w:rPr>
                <w:noProof/>
                <w:lang w:val="et-EE"/>
              </w:rPr>
              <w:t>.</w:t>
            </w:r>
          </w:p>
        </w:tc>
      </w:tr>
      <w:tr w:rsidR="00CF4AB7" w:rsidRPr="002D4CB3" w14:paraId="4D6925DF" w14:textId="77777777" w:rsidTr="002D4CB3">
        <w:tc>
          <w:tcPr>
            <w:tcW w:w="675" w:type="dxa"/>
            <w:shd w:val="clear" w:color="auto" w:fill="auto"/>
          </w:tcPr>
          <w:p w14:paraId="279B2C02" w14:textId="77777777" w:rsidR="00CF4AB7" w:rsidRPr="002D4CB3" w:rsidRDefault="00CF4AB7" w:rsidP="00A42129">
            <w:pPr>
              <w:pStyle w:val="BodyText"/>
              <w:rPr>
                <w:noProof/>
                <w:lang w:val="et-EE"/>
              </w:rPr>
            </w:pPr>
            <w:r w:rsidRPr="002D4CB3">
              <w:rPr>
                <w:noProof/>
                <w:lang w:val="et-EE"/>
              </w:rPr>
              <w:t>5.</w:t>
            </w:r>
          </w:p>
        </w:tc>
        <w:tc>
          <w:tcPr>
            <w:tcW w:w="4253" w:type="dxa"/>
            <w:shd w:val="clear" w:color="auto" w:fill="auto"/>
          </w:tcPr>
          <w:p w14:paraId="06F418C1" w14:textId="77777777" w:rsidR="00CF4AB7" w:rsidRPr="002D4CB3" w:rsidRDefault="00D365F4" w:rsidP="00BC6595">
            <w:pPr>
              <w:jc w:val="both"/>
              <w:rPr>
                <w:noProof/>
                <w:lang w:val="et-EE"/>
              </w:rPr>
            </w:pPr>
            <w:r w:rsidRPr="00D365F4">
              <w:rPr>
                <w:noProof/>
                <w:lang w:val="et-EE"/>
              </w:rPr>
              <w:t>Eraldada vahendeid KOV omanduses olevate kuid sisuliselt üleriigiliste kultuuri- ja spordiobjektide arendamiseks (nt Tallinna Lauluväljak, Tallinna Linnateater</w:t>
            </w:r>
            <w:r w:rsidR="00C3546E">
              <w:rPr>
                <w:noProof/>
                <w:lang w:val="et-EE"/>
              </w:rPr>
              <w:t>).</w:t>
            </w:r>
            <w:r w:rsidRPr="00D365F4">
              <w:rPr>
                <w:noProof/>
                <w:lang w:val="et-EE"/>
              </w:rPr>
              <w:t xml:space="preserve"> Nt UNESCO inimkonna suulise ja vaimse pärandi meistriteoste </w:t>
            </w:r>
            <w:r w:rsidRPr="00D365F4">
              <w:rPr>
                <w:noProof/>
                <w:lang w:val="et-EE"/>
              </w:rPr>
              <w:lastRenderedPageBreak/>
              <w:t xml:space="preserve">nimekirja kuuluva laulupidude traditsiooni alalhoidja </w:t>
            </w:r>
            <w:r w:rsidR="00FC4C69">
              <w:rPr>
                <w:noProof/>
                <w:lang w:val="et-EE"/>
              </w:rPr>
              <w:t>–</w:t>
            </w:r>
            <w:r w:rsidRPr="00D365F4">
              <w:rPr>
                <w:noProof/>
                <w:lang w:val="et-EE"/>
              </w:rPr>
              <w:t xml:space="preserve"> laulukaare all, kohtub laulurahvas üle Eesti.</w:t>
            </w:r>
          </w:p>
        </w:tc>
        <w:tc>
          <w:tcPr>
            <w:tcW w:w="5417" w:type="dxa"/>
            <w:shd w:val="clear" w:color="auto" w:fill="auto"/>
          </w:tcPr>
          <w:p w14:paraId="5D66574A" w14:textId="77777777" w:rsidR="00C3546E" w:rsidRPr="00C3546E" w:rsidRDefault="00C3546E" w:rsidP="00BC6595">
            <w:pPr>
              <w:jc w:val="both"/>
              <w:rPr>
                <w:noProof/>
                <w:lang w:val="et-EE"/>
              </w:rPr>
            </w:pPr>
            <w:r w:rsidRPr="00C3546E">
              <w:rPr>
                <w:noProof/>
                <w:lang w:val="et-EE"/>
              </w:rPr>
              <w:lastRenderedPageBreak/>
              <w:t>Arvestades objektide riiklikku tähtsust on vajalik riigipoolne suurem toetus, et tagada nimetatud objektide areng. Investeeringute tegemisel antud objektidesse on vajalik lisada linnapoolsele panusele teatud protsent riigieelarvest eraldatavaid vahendeid.</w:t>
            </w:r>
          </w:p>
          <w:p w14:paraId="3A2F8E0C" w14:textId="77777777" w:rsidR="00CF3D93" w:rsidRPr="00C3546E" w:rsidRDefault="00CF3D93" w:rsidP="00BC6595">
            <w:pPr>
              <w:jc w:val="both"/>
              <w:rPr>
                <w:noProof/>
                <w:color w:val="FF0000"/>
                <w:lang w:val="et-EE"/>
              </w:rPr>
            </w:pPr>
          </w:p>
        </w:tc>
      </w:tr>
      <w:tr w:rsidR="00CF4AB7" w:rsidRPr="002D4CB3" w14:paraId="669E4219" w14:textId="77777777" w:rsidTr="002D4CB3">
        <w:tc>
          <w:tcPr>
            <w:tcW w:w="675" w:type="dxa"/>
            <w:shd w:val="clear" w:color="auto" w:fill="auto"/>
          </w:tcPr>
          <w:p w14:paraId="55DEA8BD" w14:textId="77777777" w:rsidR="00CF4AB7" w:rsidRPr="002D4CB3" w:rsidRDefault="00CF4AB7" w:rsidP="00A42129">
            <w:pPr>
              <w:pStyle w:val="BodyText"/>
              <w:rPr>
                <w:noProof/>
                <w:lang w:val="et-EE"/>
              </w:rPr>
            </w:pPr>
            <w:r w:rsidRPr="002D4CB3">
              <w:rPr>
                <w:noProof/>
                <w:lang w:val="et-EE"/>
              </w:rPr>
              <w:t>6.</w:t>
            </w:r>
          </w:p>
        </w:tc>
        <w:tc>
          <w:tcPr>
            <w:tcW w:w="4253" w:type="dxa"/>
            <w:shd w:val="clear" w:color="auto" w:fill="auto"/>
          </w:tcPr>
          <w:p w14:paraId="59FC347F" w14:textId="77777777" w:rsidR="005208FF" w:rsidRPr="005208FF" w:rsidRDefault="005208FF" w:rsidP="00BC6595">
            <w:pPr>
              <w:pStyle w:val="NormalWeb"/>
              <w:shd w:val="clear" w:color="auto" w:fill="FFFFFF"/>
              <w:spacing w:after="150"/>
              <w:jc w:val="both"/>
              <w:rPr>
                <w:noProof/>
                <w:color w:val="333333"/>
              </w:rPr>
            </w:pPr>
            <w:r w:rsidRPr="005208FF">
              <w:rPr>
                <w:noProof/>
                <w:color w:val="333333"/>
              </w:rPr>
              <w:t>Eraldada vahendeid munitsipaaletendusasutustele Tallinna Linnateater ja professionaalsele muusikakollektiivile „Tallinna Kammerorkester“ ja selle katusorganisatsioonile, munitsipaaletendusasutusele Tallinna Filharmoonia tegevuse toetuseks.</w:t>
            </w:r>
          </w:p>
          <w:p w14:paraId="3B76E42C" w14:textId="77777777" w:rsidR="00CF4AB7" w:rsidRPr="002D4CB3" w:rsidRDefault="00CF4AB7" w:rsidP="00BC6595">
            <w:pPr>
              <w:pStyle w:val="NormalWeb"/>
              <w:shd w:val="clear" w:color="auto" w:fill="FFFFFF"/>
              <w:spacing w:before="0" w:beforeAutospacing="0" w:after="150" w:afterAutospacing="0"/>
              <w:jc w:val="both"/>
              <w:rPr>
                <w:noProof/>
                <w:color w:val="333333"/>
              </w:rPr>
            </w:pPr>
          </w:p>
        </w:tc>
        <w:tc>
          <w:tcPr>
            <w:tcW w:w="5417" w:type="dxa"/>
            <w:shd w:val="clear" w:color="auto" w:fill="auto"/>
          </w:tcPr>
          <w:p w14:paraId="5B1C455F" w14:textId="77777777" w:rsidR="00CF4AB7" w:rsidRPr="002D4CB3" w:rsidRDefault="005208FF" w:rsidP="00BC6595">
            <w:pPr>
              <w:jc w:val="both"/>
              <w:rPr>
                <w:rFonts w:ascii="Times New Roman" w:hAnsi="Times New Roman" w:cs="Times New Roman"/>
                <w:noProof/>
                <w:lang w:val="et-EE"/>
              </w:rPr>
            </w:pPr>
            <w:r w:rsidRPr="005208FF">
              <w:rPr>
                <w:rFonts w:ascii="Times New Roman" w:hAnsi="Times New Roman" w:cs="Times New Roman"/>
                <w:noProof/>
                <w:lang w:val="et-EE"/>
              </w:rPr>
              <w:t>Tallinna Kammerorkester on rahvusvaheliselt tunnustatud Eesti esindus- , mitte kohaliku tähtsusega kollektiiv. Tallinna Kammerorkester on riikliku sihtasutuse Eesti Filharmoonia Kammerkoori kauaaegne koostööpartner, kes järjekindlalt esindab Eestit rahvusvahelisel areenil. Kuna riigieelarvest toetatakse juba Pärnu Linnaorkestrit ja Narva linna Sümfooniaorkestrit on vahendite eraldamine ka Tallinna kultuuriasutustele, mille külastajate areaal on laiem, õiglane. </w:t>
            </w:r>
          </w:p>
        </w:tc>
      </w:tr>
      <w:tr w:rsidR="00CF4AB7" w:rsidRPr="002D4CB3" w14:paraId="4FD3FBE8" w14:textId="77777777" w:rsidTr="002D4CB3">
        <w:tc>
          <w:tcPr>
            <w:tcW w:w="675" w:type="dxa"/>
            <w:shd w:val="clear" w:color="auto" w:fill="auto"/>
          </w:tcPr>
          <w:p w14:paraId="605AAB32" w14:textId="77777777" w:rsidR="00CF4AB7" w:rsidRPr="002D4CB3" w:rsidRDefault="00CF4AB7" w:rsidP="00A42129">
            <w:pPr>
              <w:pStyle w:val="BodyText"/>
              <w:rPr>
                <w:noProof/>
                <w:lang w:val="et-EE"/>
              </w:rPr>
            </w:pPr>
            <w:r w:rsidRPr="002D4CB3">
              <w:rPr>
                <w:noProof/>
                <w:lang w:val="et-EE"/>
              </w:rPr>
              <w:t>7.</w:t>
            </w:r>
          </w:p>
        </w:tc>
        <w:tc>
          <w:tcPr>
            <w:tcW w:w="4253" w:type="dxa"/>
            <w:shd w:val="clear" w:color="auto" w:fill="auto"/>
          </w:tcPr>
          <w:p w14:paraId="11668F82" w14:textId="77777777" w:rsidR="00CF4AB7" w:rsidRPr="002D4CB3" w:rsidRDefault="004C5346" w:rsidP="00BC6595">
            <w:pPr>
              <w:pStyle w:val="NormalWeb"/>
              <w:shd w:val="clear" w:color="auto" w:fill="FFFFFF"/>
              <w:spacing w:before="0" w:beforeAutospacing="0" w:after="150" w:afterAutospacing="0"/>
              <w:jc w:val="both"/>
              <w:rPr>
                <w:noProof/>
                <w:color w:val="333333"/>
              </w:rPr>
            </w:pPr>
            <w:r w:rsidRPr="004C5346">
              <w:rPr>
                <w:noProof/>
                <w:color w:val="333333"/>
                <w:lang w:val="en-GB"/>
              </w:rPr>
              <w:t>Jätkata maakondade spordikeskuste programmist regionaalsete tervisespordikeskuste toetamist riigieelarvest RES-s 2019-2022 kavandatud mahus, so 2,9 mln eurot.</w:t>
            </w:r>
          </w:p>
        </w:tc>
        <w:tc>
          <w:tcPr>
            <w:tcW w:w="5417" w:type="dxa"/>
            <w:shd w:val="clear" w:color="auto" w:fill="auto"/>
          </w:tcPr>
          <w:p w14:paraId="269C28BF" w14:textId="77777777" w:rsidR="00CF4AB7" w:rsidRPr="002D4CB3" w:rsidRDefault="004C5346" w:rsidP="00BC6595">
            <w:pPr>
              <w:jc w:val="both"/>
              <w:rPr>
                <w:rFonts w:ascii="Times New Roman" w:hAnsi="Times New Roman" w:cs="Times New Roman"/>
                <w:noProof/>
                <w:lang w:val="et-EE"/>
              </w:rPr>
            </w:pPr>
            <w:r w:rsidRPr="004C5346">
              <w:rPr>
                <w:rFonts w:ascii="Times New Roman" w:hAnsi="Times New Roman" w:cs="Times New Roman"/>
                <w:noProof/>
                <w:lang w:val="et-EE"/>
              </w:rPr>
              <w:t>Toetada jätkuvalt regionaalseid tervisespordikeskusi, mille kaudu paraneb tervisesporditeenuse kättesaadavus ja kvaliteet.</w:t>
            </w:r>
          </w:p>
        </w:tc>
      </w:tr>
      <w:tr w:rsidR="00ED76A0" w:rsidRPr="002D4CB3" w14:paraId="7A42DFDA" w14:textId="77777777" w:rsidTr="00FC4C69">
        <w:tc>
          <w:tcPr>
            <w:tcW w:w="675" w:type="dxa"/>
            <w:shd w:val="clear" w:color="auto" w:fill="auto"/>
          </w:tcPr>
          <w:p w14:paraId="1273C8ED" w14:textId="77777777" w:rsidR="00ED76A0" w:rsidRPr="002D4CB3" w:rsidRDefault="00ED76A0" w:rsidP="00ED76A0">
            <w:pPr>
              <w:pStyle w:val="BodyText"/>
              <w:rPr>
                <w:noProof/>
                <w:lang w:val="et-EE"/>
              </w:rPr>
            </w:pPr>
            <w:r>
              <w:rPr>
                <w:noProof/>
                <w:lang w:val="et-EE"/>
              </w:rPr>
              <w:t>8.</w:t>
            </w:r>
          </w:p>
        </w:tc>
        <w:tc>
          <w:tcPr>
            <w:tcW w:w="4253" w:type="dxa"/>
            <w:shd w:val="clear" w:color="auto" w:fill="auto"/>
          </w:tcPr>
          <w:p w14:paraId="7EEFF72C" w14:textId="77777777" w:rsidR="00ED76A0" w:rsidRPr="00ED76A0" w:rsidRDefault="00ED76A0" w:rsidP="00BC6595">
            <w:pPr>
              <w:pStyle w:val="NormalWeb"/>
              <w:shd w:val="clear" w:color="auto" w:fill="FFFFFF"/>
              <w:spacing w:after="150"/>
              <w:jc w:val="both"/>
              <w:rPr>
                <w:noProof/>
                <w:color w:val="333333"/>
              </w:rPr>
            </w:pPr>
            <w:r w:rsidRPr="00ED76A0">
              <w:rPr>
                <w:noProof/>
                <w:color w:val="333333"/>
              </w:rPr>
              <w:t>Toetada investeeringute tegemist üleriigilise tähtsusega spordirajatiste renoveerimisel ja ehitamisel põhimõttel, et investeeringu maht jaguneks pooleks riigi ja kohaliku omavalitsuse üksuse vahel.</w:t>
            </w:r>
          </w:p>
          <w:p w14:paraId="56EA5356" w14:textId="77777777" w:rsidR="00ED76A0" w:rsidRPr="00ED76A0" w:rsidRDefault="00ED76A0" w:rsidP="00BC6595">
            <w:pPr>
              <w:pStyle w:val="NormalWeb"/>
              <w:shd w:val="clear" w:color="auto" w:fill="FFFFFF"/>
              <w:spacing w:after="150"/>
              <w:jc w:val="both"/>
              <w:rPr>
                <w:noProof/>
                <w:color w:val="333333"/>
              </w:rPr>
            </w:pPr>
            <w:r w:rsidRPr="00ED76A0">
              <w:rPr>
                <w:noProof/>
                <w:color w:val="333333"/>
              </w:rPr>
              <w:t xml:space="preserve">Ettepanek on tõsta prioriteetseks objektiks Kadrioru Staadion. Seda põhjusel, et tegemist on üleriikliku tähtsusega, rahvusvahelise potentsiaaliga ja mitmekülgset lisaväärtust loova, kuid tugevalt amortiseerunud ja kiiremas korras rekonstrueerimist vajava objektiga. </w:t>
            </w:r>
          </w:p>
          <w:p w14:paraId="768BE9EC" w14:textId="77777777" w:rsidR="00ED76A0" w:rsidRPr="004C5346" w:rsidRDefault="00ED76A0" w:rsidP="00BC6595">
            <w:pPr>
              <w:pStyle w:val="NormalWeb"/>
              <w:shd w:val="clear" w:color="auto" w:fill="FFFFFF"/>
              <w:spacing w:before="0" w:beforeAutospacing="0" w:after="150" w:afterAutospacing="0"/>
              <w:jc w:val="both"/>
              <w:rPr>
                <w:noProof/>
                <w:color w:val="333333"/>
                <w:lang w:val="en-GB"/>
              </w:rPr>
            </w:pPr>
            <w:r w:rsidRPr="00ED76A0">
              <w:rPr>
                <w:noProof/>
                <w:color w:val="333333"/>
                <w:lang w:val="en-GB"/>
              </w:rPr>
              <w:t>Teiseks oluliseks objektiks on Pirita Velodroom.</w:t>
            </w:r>
          </w:p>
        </w:tc>
        <w:tc>
          <w:tcPr>
            <w:tcW w:w="5417" w:type="dxa"/>
            <w:tcBorders>
              <w:left w:val="none" w:sz="1" w:space="0" w:color="808080"/>
              <w:right w:val="single" w:sz="6" w:space="0" w:color="808080"/>
            </w:tcBorders>
            <w:shd w:val="clear" w:color="auto" w:fill="auto"/>
            <w:vAlign w:val="center"/>
          </w:tcPr>
          <w:p w14:paraId="709A0136" w14:textId="77777777" w:rsidR="00ED76A0" w:rsidRPr="00E77A63" w:rsidRDefault="00ED76A0" w:rsidP="00BC6595">
            <w:pPr>
              <w:pStyle w:val="NoSpacing"/>
              <w:jc w:val="both"/>
              <w:rPr>
                <w:lang w:val="et-EE"/>
              </w:rPr>
            </w:pPr>
            <w:r w:rsidRPr="00E77A63">
              <w:rPr>
                <w:lang w:val="et-EE"/>
              </w:rPr>
              <w:t>Riik on teadaolevalt astumas Ka</w:t>
            </w:r>
            <w:r>
              <w:rPr>
                <w:lang w:val="et-EE"/>
              </w:rPr>
              <w:t>drioru</w:t>
            </w:r>
            <w:r w:rsidRPr="00E77A63">
              <w:rPr>
                <w:lang w:val="et-EE"/>
              </w:rPr>
              <w:t xml:space="preserve"> staadioni rekonstrueerimise projektist välja. Kui staadioni arendus riik</w:t>
            </w:r>
            <w:r>
              <w:rPr>
                <w:lang w:val="et-EE"/>
              </w:rPr>
              <w:t xml:space="preserve"> </w:t>
            </w:r>
            <w:r w:rsidR="00FC4C69">
              <w:rPr>
                <w:lang w:val="et-EE"/>
              </w:rPr>
              <w:t>–</w:t>
            </w:r>
            <w:r>
              <w:rPr>
                <w:lang w:val="et-EE"/>
              </w:rPr>
              <w:t xml:space="preserve"> Tallinna </w:t>
            </w:r>
            <w:r w:rsidRPr="00E77A63">
              <w:rPr>
                <w:lang w:val="et-EE"/>
              </w:rPr>
              <w:t xml:space="preserve">linn koostöös varem kokku lepitud mahus edasi ei </w:t>
            </w:r>
            <w:r>
              <w:rPr>
                <w:lang w:val="et-EE"/>
              </w:rPr>
              <w:t>toimi</w:t>
            </w:r>
            <w:r w:rsidRPr="00E77A63">
              <w:rPr>
                <w:lang w:val="et-EE"/>
              </w:rPr>
              <w:t>, siis töös olevaid ja Tallinnas asuvaid riikliku tähtsusega spordiobjekte prioriteetide seas ei ole.</w:t>
            </w:r>
          </w:p>
          <w:p w14:paraId="5F2D65D5" w14:textId="77777777" w:rsidR="00ED76A0" w:rsidRPr="00BF1F9D" w:rsidRDefault="00ED76A0" w:rsidP="00BC6595">
            <w:pPr>
              <w:pStyle w:val="NoSpacing"/>
              <w:jc w:val="both"/>
              <w:rPr>
                <w:u w:val="single"/>
                <w:lang w:val="et-EE"/>
              </w:rPr>
            </w:pPr>
            <w:r w:rsidRPr="00BF1F9D">
              <w:rPr>
                <w:u w:val="single"/>
                <w:lang w:val="et-EE"/>
              </w:rPr>
              <w:t>Kadrioru Staadioni renoveerimi</w:t>
            </w:r>
            <w:r>
              <w:rPr>
                <w:u w:val="single"/>
                <w:lang w:val="et-EE"/>
              </w:rPr>
              <w:t>s</w:t>
            </w:r>
            <w:r w:rsidRPr="00BF1F9D">
              <w:rPr>
                <w:u w:val="single"/>
                <w:lang w:val="et-EE"/>
              </w:rPr>
              <w:t>e</w:t>
            </w:r>
            <w:r>
              <w:rPr>
                <w:u w:val="single"/>
                <w:lang w:val="et-EE"/>
              </w:rPr>
              <w:t xml:space="preserve"> h</w:t>
            </w:r>
            <w:r w:rsidRPr="00BF1F9D">
              <w:rPr>
                <w:u w:val="single"/>
                <w:lang w:val="et-EE"/>
              </w:rPr>
              <w:t>innanguline kogumaksumus – 12 </w:t>
            </w:r>
            <w:r>
              <w:rPr>
                <w:u w:val="single"/>
                <w:lang w:val="et-EE"/>
              </w:rPr>
              <w:t>mln</w:t>
            </w:r>
            <w:r w:rsidRPr="00BF1F9D">
              <w:rPr>
                <w:u w:val="single"/>
                <w:lang w:val="et-EE"/>
              </w:rPr>
              <w:t xml:space="preserve"> </w:t>
            </w:r>
            <w:r>
              <w:rPr>
                <w:u w:val="single"/>
                <w:lang w:val="et-EE"/>
              </w:rPr>
              <w:t>eurot.</w:t>
            </w:r>
          </w:p>
          <w:p w14:paraId="6BA887E6" w14:textId="77777777" w:rsidR="00ED76A0" w:rsidRPr="00E77A63" w:rsidRDefault="00ED76A0" w:rsidP="00BC6595">
            <w:pPr>
              <w:pStyle w:val="NoSpacing"/>
              <w:jc w:val="both"/>
              <w:rPr>
                <w:b/>
                <w:bCs/>
                <w:lang w:val="et-EE"/>
              </w:rPr>
            </w:pPr>
          </w:p>
          <w:p w14:paraId="3B72757F" w14:textId="77777777" w:rsidR="00ED76A0" w:rsidRPr="00E77A63" w:rsidRDefault="00ED76A0" w:rsidP="00BC6595">
            <w:pPr>
              <w:pStyle w:val="NoSpacing"/>
              <w:jc w:val="both"/>
              <w:rPr>
                <w:lang w:val="et-EE"/>
              </w:rPr>
            </w:pPr>
            <w:r w:rsidRPr="00E77A63">
              <w:rPr>
                <w:lang w:val="et-EE"/>
              </w:rPr>
              <w:t xml:space="preserve">Eesmärgiks on </w:t>
            </w:r>
            <w:r>
              <w:rPr>
                <w:lang w:val="et-EE"/>
              </w:rPr>
              <w:t xml:space="preserve">jätkuvalt </w:t>
            </w:r>
            <w:r w:rsidRPr="00E77A63">
              <w:rPr>
                <w:lang w:val="et-EE"/>
              </w:rPr>
              <w:t>riikliku tähtsusega esindusstaadioni täielik renoveerimine kaasaegseks võistlus- ja treeningkeskuseks.</w:t>
            </w:r>
          </w:p>
          <w:p w14:paraId="31125531" w14:textId="77777777" w:rsidR="00ED76A0" w:rsidRPr="00E77A63" w:rsidRDefault="00ED76A0" w:rsidP="00BC6595">
            <w:pPr>
              <w:pStyle w:val="NoSpacing"/>
              <w:jc w:val="both"/>
              <w:rPr>
                <w:lang w:val="et-EE"/>
              </w:rPr>
            </w:pPr>
            <w:r w:rsidRPr="00E77A63">
              <w:rPr>
                <w:lang w:val="et-EE"/>
              </w:rPr>
              <w:t>Hetkel käib erinevate mahtude kaardistamine ja projekteerimistööde ettevalmistamine. Mälestisena</w:t>
            </w:r>
            <w:r>
              <w:rPr>
                <w:lang w:val="et-EE"/>
              </w:rPr>
              <w:t xml:space="preserve"> (muinsuskaitseobjektina)</w:t>
            </w:r>
            <w:r w:rsidRPr="00E77A63">
              <w:rPr>
                <w:lang w:val="et-EE"/>
              </w:rPr>
              <w:t xml:space="preserve"> arvel oleva peatribüüni seisukorra hindamiseks läbi viidud ekspertiis</w:t>
            </w:r>
            <w:r>
              <w:rPr>
                <w:lang w:val="et-EE"/>
              </w:rPr>
              <w:t xml:space="preserve">i </w:t>
            </w:r>
            <w:r w:rsidRPr="00E77A63">
              <w:rPr>
                <w:lang w:val="et-EE"/>
              </w:rPr>
              <w:t>kokkuvõtte</w:t>
            </w:r>
            <w:r>
              <w:rPr>
                <w:lang w:val="et-EE"/>
              </w:rPr>
              <w:t>:</w:t>
            </w:r>
            <w:r w:rsidRPr="00E77A63">
              <w:rPr>
                <w:lang w:val="et-EE"/>
              </w:rPr>
              <w:t xml:space="preserve"> hoone remonti ei ole enam võimalik edasi lükata. Lisaks kandekonstruktsioonidele on väga halvas olukorras kõik kommunikatsioonid (elekter, vesi, küte). Kohene valmisolek on alustada staadioni peaareeni valgustuse kaasajastamisega. Järjekorras ootavad: harjutusväljakute renoveerimistööd</w:t>
            </w:r>
            <w:r>
              <w:rPr>
                <w:lang w:val="et-EE"/>
              </w:rPr>
              <w:t xml:space="preserve"> ja neid </w:t>
            </w:r>
            <w:r w:rsidRPr="00D4362C">
              <w:rPr>
                <w:lang w:val="et-EE"/>
              </w:rPr>
              <w:t>teenindava juurdeehituse rajamine</w:t>
            </w:r>
            <w:r w:rsidRPr="00E77A63">
              <w:rPr>
                <w:lang w:val="et-EE"/>
              </w:rPr>
              <w:t xml:space="preserve">, laoruumide laiendamine. </w:t>
            </w:r>
          </w:p>
          <w:p w14:paraId="275AFA4A" w14:textId="77777777" w:rsidR="00ED76A0" w:rsidRDefault="00ED76A0" w:rsidP="00BC6595">
            <w:pPr>
              <w:pStyle w:val="NoSpacing"/>
              <w:jc w:val="both"/>
              <w:rPr>
                <w:lang w:val="et-EE"/>
              </w:rPr>
            </w:pPr>
            <w:r w:rsidRPr="00E77A63">
              <w:rPr>
                <w:lang w:val="et-EE"/>
              </w:rPr>
              <w:t>Parima lahenduse saamiseks on moodustamisel töörühm, kuhu kaasatakse alaliidud, Kultuuriministeerium, linna ametid ning vastavalt vajadusele ka muid osapooli.</w:t>
            </w:r>
          </w:p>
          <w:p w14:paraId="6840B947" w14:textId="77777777" w:rsidR="00ED76A0" w:rsidRPr="00E77A63" w:rsidRDefault="00ED76A0" w:rsidP="00BC6595">
            <w:pPr>
              <w:pStyle w:val="NoSpacing"/>
              <w:jc w:val="both"/>
              <w:rPr>
                <w:lang w:val="et-EE"/>
              </w:rPr>
            </w:pPr>
          </w:p>
          <w:p w14:paraId="1610D52D" w14:textId="77777777" w:rsidR="00ED76A0" w:rsidRPr="00D4362C" w:rsidRDefault="00ED76A0" w:rsidP="00BC6595">
            <w:pPr>
              <w:pStyle w:val="NoSpacing"/>
              <w:jc w:val="both"/>
              <w:rPr>
                <w:u w:val="single"/>
                <w:lang w:val="et-EE"/>
              </w:rPr>
            </w:pPr>
            <w:r w:rsidRPr="00D4362C">
              <w:rPr>
                <w:u w:val="single"/>
                <w:lang w:val="et-EE"/>
              </w:rPr>
              <w:t>Pirita Velodroomi multifunktsionaalse sisetreki projekteerimise ja ehituse</w:t>
            </w:r>
            <w:r>
              <w:rPr>
                <w:u w:val="single"/>
                <w:lang w:val="et-EE"/>
              </w:rPr>
              <w:t xml:space="preserve"> </w:t>
            </w:r>
            <w:r w:rsidRPr="00D4362C">
              <w:rPr>
                <w:u w:val="single"/>
                <w:lang w:val="et-EE"/>
              </w:rPr>
              <w:t>hinnanguline kogumaksumus – 12 </w:t>
            </w:r>
            <w:r>
              <w:rPr>
                <w:u w:val="single"/>
                <w:lang w:val="et-EE"/>
              </w:rPr>
              <w:t>mln</w:t>
            </w:r>
            <w:r w:rsidRPr="00D4362C">
              <w:rPr>
                <w:u w:val="single"/>
                <w:lang w:val="et-EE"/>
              </w:rPr>
              <w:t xml:space="preserve"> </w:t>
            </w:r>
            <w:r>
              <w:rPr>
                <w:u w:val="single"/>
                <w:lang w:val="et-EE"/>
              </w:rPr>
              <w:t>eurot.</w:t>
            </w:r>
          </w:p>
          <w:p w14:paraId="1ECEE6E8" w14:textId="77777777" w:rsidR="00ED76A0" w:rsidRPr="00E77A63" w:rsidRDefault="00ED76A0" w:rsidP="00BC6595">
            <w:pPr>
              <w:pStyle w:val="NoSpacing"/>
              <w:jc w:val="both"/>
              <w:rPr>
                <w:lang w:val="et-EE"/>
              </w:rPr>
            </w:pPr>
            <w:r w:rsidRPr="00E77A63">
              <w:rPr>
                <w:lang w:val="et-EE"/>
              </w:rPr>
              <w:t xml:space="preserve">1969. a valminud </w:t>
            </w:r>
            <w:r>
              <w:rPr>
                <w:lang w:val="et-EE"/>
              </w:rPr>
              <w:t>v</w:t>
            </w:r>
            <w:r w:rsidRPr="00E77A63">
              <w:rPr>
                <w:lang w:val="et-EE"/>
              </w:rPr>
              <w:t>elodroom on amortiseerunud ning trekirada ei saa kasutada treeninguteks ega võistlusteks.</w:t>
            </w:r>
          </w:p>
          <w:p w14:paraId="027D17AB" w14:textId="77777777" w:rsidR="00ED76A0" w:rsidRPr="00E77A63" w:rsidRDefault="00ED76A0" w:rsidP="00BC6595">
            <w:pPr>
              <w:pStyle w:val="NoSpacing"/>
              <w:jc w:val="both"/>
              <w:rPr>
                <w:lang w:val="et-EE"/>
              </w:rPr>
            </w:pPr>
            <w:r w:rsidRPr="00E77A63">
              <w:rPr>
                <w:lang w:val="et-EE"/>
              </w:rPr>
              <w:t xml:space="preserve">Ettepaneku kohaselt on kavas senise velodroomi asemele ehitada kaasaegne spordikeskus, kus lisaks </w:t>
            </w:r>
            <w:proofErr w:type="spellStart"/>
            <w:r w:rsidRPr="00E77A63">
              <w:rPr>
                <w:lang w:val="et-EE"/>
              </w:rPr>
              <w:lastRenderedPageBreak/>
              <w:t>sisetrekile</w:t>
            </w:r>
            <w:proofErr w:type="spellEnd"/>
            <w:r w:rsidRPr="00E77A63">
              <w:rPr>
                <w:lang w:val="et-EE"/>
              </w:rPr>
              <w:t xml:space="preserve"> on areeni keskel võimalus erinevaid spordikatteid kasutades läbi viia mitmete teiste spordialade treeninguid, võistlusi ja muid üritusi.</w:t>
            </w:r>
          </w:p>
          <w:p w14:paraId="1401B63E" w14:textId="77777777" w:rsidR="00ED76A0" w:rsidRPr="00E77A63" w:rsidRDefault="00ED76A0" w:rsidP="00BC6595">
            <w:pPr>
              <w:pStyle w:val="NoSpacing"/>
              <w:jc w:val="both"/>
              <w:rPr>
                <w:lang w:val="et-EE"/>
              </w:rPr>
            </w:pPr>
            <w:r w:rsidRPr="00E77A63">
              <w:rPr>
                <w:lang w:val="et-EE"/>
              </w:rPr>
              <w:t xml:space="preserve">Kaasaegsel trekil on puidust ovaal </w:t>
            </w:r>
            <w:proofErr w:type="spellStart"/>
            <w:r w:rsidRPr="00E77A63">
              <w:rPr>
                <w:lang w:val="et-EE"/>
              </w:rPr>
              <w:t>siseringi</w:t>
            </w:r>
            <w:proofErr w:type="spellEnd"/>
            <w:r w:rsidRPr="00E77A63">
              <w:rPr>
                <w:lang w:val="et-EE"/>
              </w:rPr>
              <w:t xml:space="preserve"> pikkusega 250 m. Sisetrekk vajab maa-ala, mis on vähemalt 110-115 m pikk ja 55-60 m lai. Rahvusvaheliste võistluste korraldamiseks peaks keskus mahutama vähemalt 2000 pealtvaatajat. Uue multifunktsionaalse keskuse ehitamiseks on olemas kehtiv detailplaneering. Kohapeal on olemas kõik vajalikud</w:t>
            </w:r>
            <w:r>
              <w:rPr>
                <w:lang w:val="et-EE"/>
              </w:rPr>
              <w:t xml:space="preserve"> </w:t>
            </w:r>
            <w:r w:rsidRPr="00E77A63">
              <w:rPr>
                <w:lang w:val="et-EE"/>
              </w:rPr>
              <w:t>kommunikatsioonid ja muu taristu.</w:t>
            </w:r>
          </w:p>
          <w:p w14:paraId="20B92811" w14:textId="77777777" w:rsidR="00ED76A0" w:rsidRPr="00E77A63" w:rsidRDefault="00ED76A0" w:rsidP="00BC6595">
            <w:pPr>
              <w:pStyle w:val="NoSpacing"/>
              <w:jc w:val="both"/>
              <w:rPr>
                <w:lang w:val="et-EE"/>
              </w:rPr>
            </w:pPr>
          </w:p>
        </w:tc>
      </w:tr>
      <w:tr w:rsidR="00FC4C69" w:rsidRPr="002D4CB3" w14:paraId="0AC68510" w14:textId="77777777" w:rsidTr="00BC6595">
        <w:tc>
          <w:tcPr>
            <w:tcW w:w="675" w:type="dxa"/>
            <w:shd w:val="clear" w:color="auto" w:fill="auto"/>
          </w:tcPr>
          <w:p w14:paraId="72929991" w14:textId="77777777" w:rsidR="00FC4C69" w:rsidRDefault="00FC4C69" w:rsidP="00ED76A0">
            <w:pPr>
              <w:pStyle w:val="BodyText"/>
              <w:rPr>
                <w:noProof/>
                <w:lang w:val="et-EE"/>
              </w:rPr>
            </w:pPr>
            <w:r>
              <w:rPr>
                <w:noProof/>
                <w:lang w:val="et-EE"/>
              </w:rPr>
              <w:lastRenderedPageBreak/>
              <w:t>9.</w:t>
            </w:r>
          </w:p>
        </w:tc>
        <w:tc>
          <w:tcPr>
            <w:tcW w:w="4253" w:type="dxa"/>
            <w:shd w:val="clear" w:color="auto" w:fill="auto"/>
          </w:tcPr>
          <w:p w14:paraId="7D1A34C0" w14:textId="77777777" w:rsidR="00FC4C69" w:rsidRPr="00ED76A0" w:rsidRDefault="00FC4C69" w:rsidP="00BC6595">
            <w:pPr>
              <w:pStyle w:val="NormalWeb"/>
              <w:shd w:val="clear" w:color="auto" w:fill="FFFFFF"/>
              <w:spacing w:after="150"/>
              <w:jc w:val="both"/>
              <w:rPr>
                <w:noProof/>
                <w:color w:val="333333"/>
              </w:rPr>
            </w:pPr>
            <w:r w:rsidRPr="00FC4C69">
              <w:rPr>
                <w:noProof/>
                <w:color w:val="333333"/>
                <w:lang w:val="en-GB"/>
              </w:rPr>
              <w:t>Liita Tartu Maraton rada riigi poolt toetust saavate tervisekeskuste  (-radade) nimistusse.</w:t>
            </w:r>
          </w:p>
        </w:tc>
        <w:tc>
          <w:tcPr>
            <w:tcW w:w="5417" w:type="dxa"/>
            <w:tcBorders>
              <w:left w:val="none" w:sz="1" w:space="0" w:color="808080"/>
              <w:right w:val="single" w:sz="6" w:space="0" w:color="808080"/>
            </w:tcBorders>
            <w:shd w:val="clear" w:color="auto" w:fill="auto"/>
            <w:vAlign w:val="center"/>
          </w:tcPr>
          <w:p w14:paraId="7166AB4C" w14:textId="77777777" w:rsidR="00FC4C69" w:rsidRPr="00E77A63" w:rsidRDefault="00FC4C69" w:rsidP="00BC6595">
            <w:pPr>
              <w:pStyle w:val="NoSpacing"/>
              <w:jc w:val="both"/>
              <w:rPr>
                <w:lang w:val="et-EE"/>
              </w:rPr>
            </w:pPr>
            <w:r w:rsidRPr="00FC4C69">
              <w:rPr>
                <w:lang w:val="et-EE"/>
              </w:rPr>
              <w:t>Tartu Maratoni rajast on kujunenud riiklikult prioriteetne terviserada. Lisaks rahvusvaheliselt tuntud  Tartu Maratonile, Tartu Rattamaratonile ja Maastikumaratonile, on see rada huvilistele tasuta terves pikkuses (~60 km) aastaringselt hooldatuna aktiivses kasutuses (tervise)spordi ja puhkepaigana. Sellest on kujunenud populaarne koht tuhandetele inimestele üle vabariigi, kui ka rahvusvaheliselt (eelkõige lätlased). Perioodil 2010-2013 viidi läbi loendus ning ühel nädalavahetusel fikseeriti 2000 külastajat. Järgmiseks hooajaks on plaan läbi viia koostöös Eesti Terviseradadega elektrooniline loendamine.  Antud rada ületab oma mastaapsuselt KOV ja maakondlike piire ja ei ole enam ammugi pelgalt ühe MTÜ, ega  ühe omavalitsuse huvides tegutsev keskus.</w:t>
            </w:r>
          </w:p>
        </w:tc>
      </w:tr>
      <w:tr w:rsidR="00BC6595" w:rsidRPr="002D4CB3" w14:paraId="572C57DB" w14:textId="77777777" w:rsidTr="00BC6595">
        <w:tc>
          <w:tcPr>
            <w:tcW w:w="675" w:type="dxa"/>
            <w:shd w:val="clear" w:color="auto" w:fill="auto"/>
          </w:tcPr>
          <w:p w14:paraId="7CEB736D" w14:textId="77777777" w:rsidR="00BC6595" w:rsidRDefault="00BC6595" w:rsidP="00ED76A0">
            <w:pPr>
              <w:pStyle w:val="BodyText"/>
              <w:rPr>
                <w:noProof/>
                <w:lang w:val="et-EE"/>
              </w:rPr>
            </w:pPr>
            <w:r>
              <w:rPr>
                <w:noProof/>
                <w:lang w:val="et-EE"/>
              </w:rPr>
              <w:t xml:space="preserve">10. </w:t>
            </w:r>
          </w:p>
        </w:tc>
        <w:tc>
          <w:tcPr>
            <w:tcW w:w="4253" w:type="dxa"/>
            <w:shd w:val="clear" w:color="auto" w:fill="auto"/>
          </w:tcPr>
          <w:p w14:paraId="6FB81AC6" w14:textId="77777777" w:rsidR="00BC6595" w:rsidRPr="00FC4C69" w:rsidRDefault="00BC6595" w:rsidP="00BC6595">
            <w:pPr>
              <w:pStyle w:val="NormalWeb"/>
              <w:shd w:val="clear" w:color="auto" w:fill="FFFFFF"/>
              <w:spacing w:after="150"/>
              <w:jc w:val="both"/>
              <w:rPr>
                <w:noProof/>
                <w:color w:val="333333"/>
                <w:lang w:val="en-GB"/>
              </w:rPr>
            </w:pPr>
            <w:r w:rsidRPr="00BC6595">
              <w:rPr>
                <w:noProof/>
                <w:color w:val="333333"/>
                <w:lang w:val="en-GB"/>
              </w:rPr>
              <w:t>Leida lahendusi treeneripalga toetamise määra tõstmiseks vähemalt õpetaja töötasu alammäära tasemele.</w:t>
            </w:r>
          </w:p>
        </w:tc>
        <w:tc>
          <w:tcPr>
            <w:tcW w:w="5417" w:type="dxa"/>
            <w:tcBorders>
              <w:left w:val="none" w:sz="1" w:space="0" w:color="808080"/>
              <w:right w:val="single" w:sz="6" w:space="0" w:color="808080"/>
            </w:tcBorders>
            <w:shd w:val="clear" w:color="auto" w:fill="auto"/>
            <w:vAlign w:val="center"/>
          </w:tcPr>
          <w:p w14:paraId="04E819A4" w14:textId="77777777" w:rsidR="00BC6595" w:rsidRPr="00FC4C69" w:rsidRDefault="00BC6595" w:rsidP="00BC6595">
            <w:pPr>
              <w:pStyle w:val="NoSpacing"/>
              <w:jc w:val="both"/>
              <w:rPr>
                <w:lang w:val="et-EE"/>
              </w:rPr>
            </w:pPr>
            <w:r w:rsidRPr="00BC6595">
              <w:rPr>
                <w:lang w:val="et-EE"/>
              </w:rPr>
              <w:t>Noorte liikumisharjumuste tõus on oluline eesmärk, et tõsta meie elanikkonna heaolu. Treeneri töö on samaväärne õpetajatööga ning seega peaks treeneritele eraldatud palgatoetus olema vähemalt õpetaja töötasu alammääraga samal tasemele.</w:t>
            </w:r>
          </w:p>
        </w:tc>
      </w:tr>
      <w:tr w:rsidR="00BC6595" w:rsidRPr="002D4CB3" w14:paraId="0A25FB78" w14:textId="77777777" w:rsidTr="008C4855">
        <w:tc>
          <w:tcPr>
            <w:tcW w:w="675" w:type="dxa"/>
            <w:shd w:val="clear" w:color="auto" w:fill="auto"/>
          </w:tcPr>
          <w:p w14:paraId="5B335E00" w14:textId="77777777" w:rsidR="00BC6595" w:rsidRDefault="00BC6595" w:rsidP="00ED76A0">
            <w:pPr>
              <w:pStyle w:val="BodyText"/>
              <w:rPr>
                <w:noProof/>
                <w:lang w:val="et-EE"/>
              </w:rPr>
            </w:pPr>
            <w:r>
              <w:rPr>
                <w:noProof/>
                <w:lang w:val="et-EE"/>
              </w:rPr>
              <w:t xml:space="preserve">11. </w:t>
            </w:r>
          </w:p>
        </w:tc>
        <w:tc>
          <w:tcPr>
            <w:tcW w:w="4253" w:type="dxa"/>
            <w:shd w:val="clear" w:color="auto" w:fill="auto"/>
          </w:tcPr>
          <w:p w14:paraId="5CA9FFFD" w14:textId="77777777" w:rsidR="00BC6595" w:rsidRPr="00BC6595" w:rsidRDefault="00BC6595" w:rsidP="00BC6595">
            <w:pPr>
              <w:pStyle w:val="NormalWeb"/>
              <w:shd w:val="clear" w:color="auto" w:fill="FFFFFF"/>
              <w:spacing w:after="150"/>
              <w:jc w:val="both"/>
              <w:rPr>
                <w:noProof/>
                <w:color w:val="333333"/>
                <w:lang w:val="en-GB"/>
              </w:rPr>
            </w:pPr>
            <w:r w:rsidRPr="00BC6595">
              <w:rPr>
                <w:noProof/>
                <w:color w:val="333333"/>
                <w:lang w:val="en-GB"/>
              </w:rPr>
              <w:t>Lahendada Tallinna Linnavolikogu 05.10.2006 otsusega  nr 300 tehtud ettepanek Mustpeade maja kui olulise kultuuriobjekti tagastamata jätmiseks</w:t>
            </w:r>
            <w:r>
              <w:rPr>
                <w:noProof/>
                <w:color w:val="333333"/>
                <w:lang w:val="en-GB"/>
              </w:rPr>
              <w:t>.</w:t>
            </w:r>
          </w:p>
        </w:tc>
        <w:tc>
          <w:tcPr>
            <w:tcW w:w="5417" w:type="dxa"/>
            <w:tcBorders>
              <w:left w:val="none" w:sz="1" w:space="0" w:color="808080"/>
              <w:bottom w:val="none" w:sz="1" w:space="0" w:color="808080"/>
              <w:right w:val="single" w:sz="6" w:space="0" w:color="808080"/>
            </w:tcBorders>
            <w:shd w:val="clear" w:color="auto" w:fill="auto"/>
            <w:vAlign w:val="center"/>
          </w:tcPr>
          <w:p w14:paraId="00CE6C86" w14:textId="77777777" w:rsidR="00BC6595" w:rsidRPr="00BC6595" w:rsidRDefault="00BC6595" w:rsidP="00BC6595">
            <w:pPr>
              <w:pStyle w:val="NoSpacing"/>
              <w:jc w:val="both"/>
              <w:rPr>
                <w:lang w:val="et-EE"/>
              </w:rPr>
            </w:pPr>
            <w:r w:rsidRPr="00BC6595">
              <w:rPr>
                <w:lang w:val="et-EE"/>
              </w:rPr>
              <w:t>Tallinna Linnavolikogu tegi Vabariigi Valitsusele ettepaneku Mustpeade maja hoonetekompleksi kui olulise kultuuriobjekti tagastamata jätmiseks 05.10.2006 otsusega nr 300, so 13 a tagasi. Valitsus on kahel korral, aastatel 2008 ja 2012 taotluse negatiivselt lahendanud, kuid neist otsustest võrsunud kohtuvaidlused kaotanud. Üle nelja aasta on möödunud vaidlustest, viimases kohtuotsuse jõustumisest kuid siiani ei ole valitsus suutnud ettepanekut uuesti lahendada. Kõnealune hoone vajab säilimiseks ja senise kasutusfunktsiooni tagamiseks suuremahulisi investeeringuid, mida linn lahendamata omandiküsimuse tõttu teha ei söanda. Selliselt ohustab valitsuse otsustamatus selle küsimuse lahendamisel hoone säilivust ja avalikke huve.</w:t>
            </w:r>
          </w:p>
        </w:tc>
      </w:tr>
    </w:tbl>
    <w:p w14:paraId="6E2CD334" w14:textId="77777777" w:rsidR="0033223C" w:rsidRPr="009272E0" w:rsidRDefault="0033223C">
      <w:pPr>
        <w:pStyle w:val="BodyText"/>
        <w:rPr>
          <w:noProof/>
          <w:lang w:val="et-EE"/>
        </w:rPr>
      </w:pPr>
    </w:p>
    <w:sectPr w:rsidR="0033223C" w:rsidRPr="009272E0">
      <w:type w:val="continuous"/>
      <w:pgSz w:w="11906" w:h="16838"/>
      <w:pgMar w:top="567" w:right="567" w:bottom="567"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Roman No9 L">
    <w:altName w:val="Times New Roman"/>
    <w:charset w:val="01"/>
    <w:family w:val="roman"/>
    <w:pitch w:val="variable"/>
  </w:font>
  <w:font w:name="DejaVu Sans">
    <w:panose1 w:val="020B0603030804020204"/>
    <w:charset w:val="BA"/>
    <w:family w:val="swiss"/>
    <w:pitch w:val="variable"/>
    <w:sig w:usb0="E7002EFF" w:usb1="D200FDFF" w:usb2="0A246029" w:usb3="00000000" w:csb0="000001FF" w:csb1="00000000"/>
  </w:font>
  <w:font w:name="Thorndale">
    <w:altName w:val="Times New Roman"/>
    <w:charset w:val="01"/>
    <w:family w:val="roman"/>
    <w:pitch w:val="variable"/>
  </w:font>
  <w:font w:name="Albany">
    <w:altName w:val="Arial"/>
    <w:charset w:val="01"/>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87E4D"/>
    <w:multiLevelType w:val="hybridMultilevel"/>
    <w:tmpl w:val="52F4CA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E23A15"/>
    <w:multiLevelType w:val="hybridMultilevel"/>
    <w:tmpl w:val="C90421A4"/>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 w15:restartNumberingAfterBreak="0">
    <w:nsid w:val="34F56C3D"/>
    <w:multiLevelType w:val="hybridMultilevel"/>
    <w:tmpl w:val="59F461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4B024688"/>
    <w:multiLevelType w:val="hybridMultilevel"/>
    <w:tmpl w:val="490260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03377C2"/>
    <w:multiLevelType w:val="hybridMultilevel"/>
    <w:tmpl w:val="53822F4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27D567C"/>
    <w:multiLevelType w:val="hybridMultilevel"/>
    <w:tmpl w:val="5C08292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6" w15:restartNumberingAfterBreak="0">
    <w:nsid w:val="75482C66"/>
    <w:multiLevelType w:val="hybridMultilevel"/>
    <w:tmpl w:val="22323D26"/>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7" w15:restartNumberingAfterBreak="0">
    <w:nsid w:val="7B9858B7"/>
    <w:multiLevelType w:val="hybridMultilevel"/>
    <w:tmpl w:val="41B885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1"/>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4ADE"/>
    <w:rsid w:val="00022D5E"/>
    <w:rsid w:val="00043318"/>
    <w:rsid w:val="000A56D1"/>
    <w:rsid w:val="0014673A"/>
    <w:rsid w:val="001527D6"/>
    <w:rsid w:val="002365E2"/>
    <w:rsid w:val="002B0AE4"/>
    <w:rsid w:val="002C40FE"/>
    <w:rsid w:val="002D4CB3"/>
    <w:rsid w:val="002F4ADE"/>
    <w:rsid w:val="0032039D"/>
    <w:rsid w:val="0033223C"/>
    <w:rsid w:val="00333859"/>
    <w:rsid w:val="00407690"/>
    <w:rsid w:val="00494963"/>
    <w:rsid w:val="004B2AD4"/>
    <w:rsid w:val="004C5346"/>
    <w:rsid w:val="005028B8"/>
    <w:rsid w:val="005208FF"/>
    <w:rsid w:val="00533979"/>
    <w:rsid w:val="0059493E"/>
    <w:rsid w:val="005B0B5D"/>
    <w:rsid w:val="00611662"/>
    <w:rsid w:val="00626A14"/>
    <w:rsid w:val="00655805"/>
    <w:rsid w:val="006818F5"/>
    <w:rsid w:val="006A42CE"/>
    <w:rsid w:val="00714474"/>
    <w:rsid w:val="00757220"/>
    <w:rsid w:val="007A161F"/>
    <w:rsid w:val="007F0A69"/>
    <w:rsid w:val="00823AF0"/>
    <w:rsid w:val="008519F2"/>
    <w:rsid w:val="008C4855"/>
    <w:rsid w:val="0091103F"/>
    <w:rsid w:val="009272E0"/>
    <w:rsid w:val="009620DF"/>
    <w:rsid w:val="009A19F2"/>
    <w:rsid w:val="009E6A11"/>
    <w:rsid w:val="009F4646"/>
    <w:rsid w:val="00A42129"/>
    <w:rsid w:val="00B14447"/>
    <w:rsid w:val="00B74650"/>
    <w:rsid w:val="00BB7F2B"/>
    <w:rsid w:val="00BC6595"/>
    <w:rsid w:val="00BD1445"/>
    <w:rsid w:val="00BF1F9D"/>
    <w:rsid w:val="00C3546E"/>
    <w:rsid w:val="00C60241"/>
    <w:rsid w:val="00C8622C"/>
    <w:rsid w:val="00CB63BA"/>
    <w:rsid w:val="00CF3D93"/>
    <w:rsid w:val="00CF4AB7"/>
    <w:rsid w:val="00D365F4"/>
    <w:rsid w:val="00D4362C"/>
    <w:rsid w:val="00D4763B"/>
    <w:rsid w:val="00E77A63"/>
    <w:rsid w:val="00EB6DC8"/>
    <w:rsid w:val="00ED76A0"/>
    <w:rsid w:val="00ED7EB1"/>
    <w:rsid w:val="00EE202F"/>
    <w:rsid w:val="00FC4C6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0C477520"/>
  <w15:chartTrackingRefBased/>
  <w15:docId w15:val="{6CE47003-5440-4ABB-A46C-4A9A890B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Nimbus Roman No9 L" w:eastAsia="DejaVu Sans" w:hAnsi="Nimbus Roman No9 L" w:cs="DejaVu Sans"/>
      <w:sz w:val="24"/>
      <w:szCs w:val="24"/>
      <w:lang w:val="en-GB" w:eastAsia="zh-CN" w:bidi="hi-IN"/>
    </w:rPr>
  </w:style>
  <w:style w:type="paragraph" w:styleId="Heading1">
    <w:name w:val="heading 1"/>
    <w:basedOn w:val="Heading"/>
    <w:next w:val="BodyText"/>
    <w:qFormat/>
    <w:pPr>
      <w:outlineLvl w:val="0"/>
    </w:pPr>
    <w:rPr>
      <w:rFonts w:ascii="Thorndale" w:hAnsi="Thorndale"/>
      <w:b/>
      <w:bCs/>
      <w:sz w:val="48"/>
      <w:szCs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customStyle="1" w:styleId="HorizontalLine">
    <w:name w:val="Horizontal Line"/>
    <w:basedOn w:val="Normal"/>
    <w:next w:val="BodyText"/>
    <w:pPr>
      <w:pBdr>
        <w:top w:val="none" w:sz="0" w:space="0" w:color="000000"/>
        <w:left w:val="none" w:sz="0" w:space="0" w:color="000000"/>
        <w:bottom w:val="double" w:sz="3" w:space="0" w:color="808080"/>
        <w:right w:val="none" w:sz="0" w:space="0" w:color="000000"/>
      </w:pBdr>
      <w:spacing w:after="283"/>
    </w:pPr>
    <w:rPr>
      <w:sz w:val="12"/>
    </w:rPr>
  </w:style>
  <w:style w:type="paragraph" w:styleId="EnvelopeReturn">
    <w:name w:val="envelope return"/>
    <w:basedOn w:val="Normal"/>
    <w:rPr>
      <w:i/>
    </w:rPr>
  </w:style>
  <w:style w:type="paragraph" w:customStyle="1" w:styleId="TableContents">
    <w:name w:val="Table Contents"/>
    <w:basedOn w:val="BodyTex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Index">
    <w:name w:val="Index"/>
    <w:basedOn w:val="Normal"/>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pPr>
      <w:keepNext/>
      <w:spacing w:before="240" w:after="283"/>
    </w:pPr>
    <w:rPr>
      <w:rFonts w:ascii="Albany" w:hAnsi="Albany"/>
      <w:sz w:val="28"/>
      <w:szCs w:val="28"/>
    </w:rPr>
  </w:style>
  <w:style w:type="paragraph" w:customStyle="1" w:styleId="TableHeading">
    <w:name w:val="Table Heading"/>
    <w:basedOn w:val="TableContents"/>
    <w:pPr>
      <w:suppressLineNumbers/>
      <w:jc w:val="center"/>
    </w:pPr>
    <w:rPr>
      <w:b/>
      <w:bCs/>
    </w:rPr>
  </w:style>
  <w:style w:type="character" w:styleId="CommentReference">
    <w:name w:val="annotation reference"/>
    <w:uiPriority w:val="99"/>
    <w:semiHidden/>
    <w:unhideWhenUsed/>
    <w:rsid w:val="00EB6DC8"/>
    <w:rPr>
      <w:sz w:val="16"/>
      <w:szCs w:val="16"/>
    </w:rPr>
  </w:style>
  <w:style w:type="paragraph" w:styleId="CommentText">
    <w:name w:val="annotation text"/>
    <w:basedOn w:val="Normal"/>
    <w:link w:val="CommentTextChar"/>
    <w:uiPriority w:val="99"/>
    <w:semiHidden/>
    <w:unhideWhenUsed/>
    <w:rsid w:val="00EB6DC8"/>
    <w:rPr>
      <w:rFonts w:cs="Mangal"/>
      <w:sz w:val="20"/>
      <w:szCs w:val="18"/>
    </w:rPr>
  </w:style>
  <w:style w:type="character" w:customStyle="1" w:styleId="CommentTextChar">
    <w:name w:val="Comment Text Char"/>
    <w:link w:val="CommentText"/>
    <w:uiPriority w:val="99"/>
    <w:semiHidden/>
    <w:rsid w:val="00EB6DC8"/>
    <w:rPr>
      <w:rFonts w:ascii="Nimbus Roman No9 L" w:eastAsia="DejaVu Sans" w:hAnsi="Nimbus Roman No9 L" w:cs="Mangal"/>
      <w:szCs w:val="18"/>
      <w:lang w:val="en-GB" w:eastAsia="zh-CN" w:bidi="hi-IN"/>
    </w:rPr>
  </w:style>
  <w:style w:type="paragraph" w:styleId="CommentSubject">
    <w:name w:val="annotation subject"/>
    <w:basedOn w:val="CommentText"/>
    <w:next w:val="CommentText"/>
    <w:link w:val="CommentSubjectChar"/>
    <w:uiPriority w:val="99"/>
    <w:semiHidden/>
    <w:unhideWhenUsed/>
    <w:rsid w:val="00EB6DC8"/>
    <w:rPr>
      <w:b/>
      <w:bCs/>
    </w:rPr>
  </w:style>
  <w:style w:type="character" w:customStyle="1" w:styleId="CommentSubjectChar">
    <w:name w:val="Comment Subject Char"/>
    <w:link w:val="CommentSubject"/>
    <w:uiPriority w:val="99"/>
    <w:semiHidden/>
    <w:rsid w:val="00EB6DC8"/>
    <w:rPr>
      <w:rFonts w:ascii="Nimbus Roman No9 L" w:eastAsia="DejaVu Sans" w:hAnsi="Nimbus Roman No9 L" w:cs="Mangal"/>
      <w:b/>
      <w:bCs/>
      <w:szCs w:val="18"/>
      <w:lang w:val="en-GB" w:eastAsia="zh-CN" w:bidi="hi-IN"/>
    </w:rPr>
  </w:style>
  <w:style w:type="paragraph" w:styleId="BalloonText">
    <w:name w:val="Balloon Text"/>
    <w:basedOn w:val="Normal"/>
    <w:link w:val="BalloonTextChar"/>
    <w:uiPriority w:val="99"/>
    <w:semiHidden/>
    <w:unhideWhenUsed/>
    <w:rsid w:val="00EB6DC8"/>
    <w:rPr>
      <w:rFonts w:ascii="Segoe UI" w:hAnsi="Segoe UI" w:cs="Mangal"/>
      <w:sz w:val="18"/>
      <w:szCs w:val="16"/>
    </w:rPr>
  </w:style>
  <w:style w:type="character" w:customStyle="1" w:styleId="BalloonTextChar">
    <w:name w:val="Balloon Text Char"/>
    <w:link w:val="BalloonText"/>
    <w:uiPriority w:val="99"/>
    <w:semiHidden/>
    <w:rsid w:val="00EB6DC8"/>
    <w:rPr>
      <w:rFonts w:ascii="Segoe UI" w:eastAsia="DejaVu Sans" w:hAnsi="Segoe UI" w:cs="Mangal"/>
      <w:sz w:val="18"/>
      <w:szCs w:val="16"/>
      <w:lang w:val="en-GB" w:eastAsia="zh-CN" w:bidi="hi-IN"/>
    </w:rPr>
  </w:style>
  <w:style w:type="paragraph" w:styleId="NoSpacing">
    <w:name w:val="No Spacing"/>
    <w:uiPriority w:val="1"/>
    <w:qFormat/>
    <w:rsid w:val="00BF1F9D"/>
    <w:pPr>
      <w:widowControl w:val="0"/>
      <w:suppressAutoHyphens/>
    </w:pPr>
    <w:rPr>
      <w:rFonts w:ascii="Nimbus Roman No9 L" w:eastAsia="DejaVu Sans" w:hAnsi="Nimbus Roman No9 L" w:cs="Mangal"/>
      <w:sz w:val="24"/>
      <w:szCs w:val="21"/>
      <w:lang w:val="en-GB" w:eastAsia="zh-CN" w:bidi="hi-IN"/>
    </w:rPr>
  </w:style>
  <w:style w:type="table" w:styleId="TableGrid">
    <w:name w:val="Table Grid"/>
    <w:basedOn w:val="TableNormal"/>
    <w:uiPriority w:val="39"/>
    <w:rsid w:val="00A421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161F"/>
    <w:pPr>
      <w:widowControl/>
      <w:suppressAutoHyphens w:val="0"/>
      <w:spacing w:before="100" w:beforeAutospacing="1" w:after="100" w:afterAutospacing="1"/>
    </w:pPr>
    <w:rPr>
      <w:rFonts w:ascii="Times New Roman" w:eastAsia="Times New Roman" w:hAnsi="Times New Roman" w:cs="Times New Roman"/>
      <w:lang w:val="et-EE" w:eastAsia="et-EE" w:bidi="ar-SA"/>
    </w:rPr>
  </w:style>
  <w:style w:type="character" w:styleId="UnresolvedMention">
    <w:name w:val="Unresolved Mention"/>
    <w:uiPriority w:val="99"/>
    <w:semiHidden/>
    <w:unhideWhenUsed/>
    <w:rsid w:val="000A5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506106">
      <w:bodyDiv w:val="1"/>
      <w:marLeft w:val="0"/>
      <w:marRight w:val="0"/>
      <w:marTop w:val="0"/>
      <w:marBottom w:val="0"/>
      <w:divBdr>
        <w:top w:val="none" w:sz="0" w:space="0" w:color="auto"/>
        <w:left w:val="none" w:sz="0" w:space="0" w:color="auto"/>
        <w:bottom w:val="none" w:sz="0" w:space="0" w:color="auto"/>
        <w:right w:val="none" w:sz="0" w:space="0" w:color="auto"/>
      </w:divBdr>
    </w:div>
    <w:div w:id="465044859">
      <w:bodyDiv w:val="1"/>
      <w:marLeft w:val="0"/>
      <w:marRight w:val="0"/>
      <w:marTop w:val="0"/>
      <w:marBottom w:val="0"/>
      <w:divBdr>
        <w:top w:val="none" w:sz="0" w:space="0" w:color="auto"/>
        <w:left w:val="none" w:sz="0" w:space="0" w:color="auto"/>
        <w:bottom w:val="none" w:sz="0" w:space="0" w:color="auto"/>
        <w:right w:val="none" w:sz="0" w:space="0" w:color="auto"/>
      </w:divBdr>
    </w:div>
    <w:div w:id="582031643">
      <w:bodyDiv w:val="1"/>
      <w:marLeft w:val="0"/>
      <w:marRight w:val="0"/>
      <w:marTop w:val="0"/>
      <w:marBottom w:val="0"/>
      <w:divBdr>
        <w:top w:val="none" w:sz="0" w:space="0" w:color="auto"/>
        <w:left w:val="none" w:sz="0" w:space="0" w:color="auto"/>
        <w:bottom w:val="none" w:sz="0" w:space="0" w:color="auto"/>
        <w:right w:val="none" w:sz="0" w:space="0" w:color="auto"/>
      </w:divBdr>
    </w:div>
    <w:div w:id="728455402">
      <w:bodyDiv w:val="1"/>
      <w:marLeft w:val="0"/>
      <w:marRight w:val="0"/>
      <w:marTop w:val="0"/>
      <w:marBottom w:val="0"/>
      <w:divBdr>
        <w:top w:val="none" w:sz="0" w:space="0" w:color="auto"/>
        <w:left w:val="none" w:sz="0" w:space="0" w:color="auto"/>
        <w:bottom w:val="none" w:sz="0" w:space="0" w:color="auto"/>
        <w:right w:val="none" w:sz="0" w:space="0" w:color="auto"/>
      </w:divBdr>
    </w:div>
    <w:div w:id="786197692">
      <w:bodyDiv w:val="1"/>
      <w:marLeft w:val="0"/>
      <w:marRight w:val="0"/>
      <w:marTop w:val="0"/>
      <w:marBottom w:val="0"/>
      <w:divBdr>
        <w:top w:val="none" w:sz="0" w:space="0" w:color="auto"/>
        <w:left w:val="none" w:sz="0" w:space="0" w:color="auto"/>
        <w:bottom w:val="none" w:sz="0" w:space="0" w:color="auto"/>
        <w:right w:val="none" w:sz="0" w:space="0" w:color="auto"/>
      </w:divBdr>
    </w:div>
    <w:div w:id="980229692">
      <w:bodyDiv w:val="1"/>
      <w:marLeft w:val="0"/>
      <w:marRight w:val="0"/>
      <w:marTop w:val="0"/>
      <w:marBottom w:val="0"/>
      <w:divBdr>
        <w:top w:val="none" w:sz="0" w:space="0" w:color="auto"/>
        <w:left w:val="none" w:sz="0" w:space="0" w:color="auto"/>
        <w:bottom w:val="none" w:sz="0" w:space="0" w:color="auto"/>
        <w:right w:val="none" w:sz="0" w:space="0" w:color="auto"/>
      </w:divBdr>
    </w:div>
    <w:div w:id="1287614099">
      <w:bodyDiv w:val="1"/>
      <w:marLeft w:val="0"/>
      <w:marRight w:val="0"/>
      <w:marTop w:val="0"/>
      <w:marBottom w:val="0"/>
      <w:divBdr>
        <w:top w:val="none" w:sz="0" w:space="0" w:color="auto"/>
        <w:left w:val="none" w:sz="0" w:space="0" w:color="auto"/>
        <w:bottom w:val="none" w:sz="0" w:space="0" w:color="auto"/>
        <w:right w:val="none" w:sz="0" w:space="0" w:color="auto"/>
      </w:divBdr>
    </w:div>
    <w:div w:id="1348407471">
      <w:bodyDiv w:val="1"/>
      <w:marLeft w:val="0"/>
      <w:marRight w:val="0"/>
      <w:marTop w:val="0"/>
      <w:marBottom w:val="0"/>
      <w:divBdr>
        <w:top w:val="none" w:sz="0" w:space="0" w:color="auto"/>
        <w:left w:val="none" w:sz="0" w:space="0" w:color="auto"/>
        <w:bottom w:val="none" w:sz="0" w:space="0" w:color="auto"/>
        <w:right w:val="none" w:sz="0" w:space="0" w:color="auto"/>
      </w:divBdr>
    </w:div>
    <w:div w:id="1532187174">
      <w:bodyDiv w:val="1"/>
      <w:marLeft w:val="0"/>
      <w:marRight w:val="0"/>
      <w:marTop w:val="0"/>
      <w:marBottom w:val="0"/>
      <w:divBdr>
        <w:top w:val="none" w:sz="0" w:space="0" w:color="auto"/>
        <w:left w:val="none" w:sz="0" w:space="0" w:color="auto"/>
        <w:bottom w:val="none" w:sz="0" w:space="0" w:color="auto"/>
        <w:right w:val="none" w:sz="0" w:space="0" w:color="auto"/>
      </w:divBdr>
    </w:div>
    <w:div w:id="1565262467">
      <w:bodyDiv w:val="1"/>
      <w:marLeft w:val="0"/>
      <w:marRight w:val="0"/>
      <w:marTop w:val="0"/>
      <w:marBottom w:val="0"/>
      <w:divBdr>
        <w:top w:val="none" w:sz="0" w:space="0" w:color="auto"/>
        <w:left w:val="none" w:sz="0" w:space="0" w:color="auto"/>
        <w:bottom w:val="none" w:sz="0" w:space="0" w:color="auto"/>
        <w:right w:val="none" w:sz="0" w:space="0" w:color="auto"/>
      </w:divBdr>
    </w:div>
    <w:div w:id="1602487706">
      <w:bodyDiv w:val="1"/>
      <w:marLeft w:val="0"/>
      <w:marRight w:val="0"/>
      <w:marTop w:val="0"/>
      <w:marBottom w:val="0"/>
      <w:divBdr>
        <w:top w:val="none" w:sz="0" w:space="0" w:color="auto"/>
        <w:left w:val="none" w:sz="0" w:space="0" w:color="auto"/>
        <w:bottom w:val="none" w:sz="0" w:space="0" w:color="auto"/>
        <w:right w:val="none" w:sz="0" w:space="0" w:color="auto"/>
      </w:divBdr>
    </w:div>
    <w:div w:id="1833839069">
      <w:bodyDiv w:val="1"/>
      <w:marLeft w:val="0"/>
      <w:marRight w:val="0"/>
      <w:marTop w:val="0"/>
      <w:marBottom w:val="0"/>
      <w:divBdr>
        <w:top w:val="none" w:sz="0" w:space="0" w:color="auto"/>
        <w:left w:val="none" w:sz="0" w:space="0" w:color="auto"/>
        <w:bottom w:val="none" w:sz="0" w:space="0" w:color="auto"/>
        <w:right w:val="none" w:sz="0" w:space="0" w:color="auto"/>
      </w:divBdr>
    </w:div>
    <w:div w:id="18647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31590E3B0F91478275621E71501E72" ma:contentTypeVersion="11" ma:contentTypeDescription="Create a new document." ma:contentTypeScope="" ma:versionID="e31d23ea9c85df8182acda5861077a17">
  <xsd:schema xmlns:xsd="http://www.w3.org/2001/XMLSchema" xmlns:xs="http://www.w3.org/2001/XMLSchema" xmlns:p="http://schemas.microsoft.com/office/2006/metadata/properties" xmlns:ns3="0724b6fa-2cd9-4b94-95d1-2f0a04d395e8" xmlns:ns4="d995db1f-3caf-424c-9b43-e992d9bc1d33" targetNamespace="http://schemas.microsoft.com/office/2006/metadata/properties" ma:root="true" ma:fieldsID="af1096d35b39bf359c902388c97ff636" ns3:_="" ns4:_="">
    <xsd:import namespace="0724b6fa-2cd9-4b94-95d1-2f0a04d395e8"/>
    <xsd:import namespace="d995db1f-3caf-424c-9b43-e992d9bc1d3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4b6fa-2cd9-4b94-95d1-2f0a04d395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95db1f-3caf-424c-9b43-e992d9bc1d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30325-C19E-488C-9C63-142B17741789}">
  <ds:schemaRefs>
    <ds:schemaRef ds:uri="http://schemas.microsoft.com/sharepoint/v3/contenttype/forms"/>
  </ds:schemaRefs>
</ds:datastoreItem>
</file>

<file path=customXml/itemProps2.xml><?xml version="1.0" encoding="utf-8"?>
<ds:datastoreItem xmlns:ds="http://schemas.openxmlformats.org/officeDocument/2006/customXml" ds:itemID="{CD1B92B3-1F6B-403C-991C-FCA67D84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4b6fa-2cd9-4b94-95d1-2f0a04d395e8"/>
    <ds:schemaRef ds:uri="d995db1f-3caf-424c-9b43-e992d9bc1d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CEE861-3BE1-4BE5-AD9D-51D5660D834A}">
  <ds:schemaRefs>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d995db1f-3caf-424c-9b43-e992d9bc1d33"/>
    <ds:schemaRef ds:uri="http://schemas.microsoft.com/office/2006/metadata/properties"/>
    <ds:schemaRef ds:uri="http://schemas.openxmlformats.org/package/2006/metadata/core-properties"/>
    <ds:schemaRef ds:uri="0724b6fa-2cd9-4b94-95d1-2f0a04d395e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1304</Words>
  <Characters>7565</Characters>
  <Application>Microsoft Office Word</Application>
  <DocSecurity>0</DocSecurity>
  <Lines>63</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 Ilves</dc:creator>
  <cp:keywords/>
  <dc:description/>
  <cp:lastModifiedBy>Kaimo Käärmann-Liive</cp:lastModifiedBy>
  <cp:revision>2</cp:revision>
  <cp:lastPrinted>1601-01-01T00:00:00Z</cp:lastPrinted>
  <dcterms:created xsi:type="dcterms:W3CDTF">2019-11-17T19:06:00Z</dcterms:created>
  <dcterms:modified xsi:type="dcterms:W3CDTF">2019-11-17T19:06:00Z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0x0101001331590E3B0F91478275621E71501E72</vt:lpwstr>
  </property>
</Properties>
</file>