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FE9FA" w14:textId="77777777" w:rsidR="008E7A67" w:rsidRPr="008E7A67" w:rsidRDefault="008E7A67" w:rsidP="00FB0042">
      <w:pPr>
        <w:spacing w:after="240" w:line="240" w:lineRule="auto"/>
        <w:jc w:val="both"/>
        <w:rPr>
          <w:rFonts w:asciiTheme="minorHAnsi" w:hAnsiTheme="minorHAnsi" w:cstheme="minorHAnsi"/>
          <w:b/>
        </w:rPr>
      </w:pPr>
      <w:r w:rsidRPr="008E7A67">
        <w:rPr>
          <w:rFonts w:asciiTheme="minorHAnsi" w:hAnsiTheme="minorHAnsi" w:cstheme="minorHAnsi"/>
          <w:b/>
        </w:rPr>
        <w:t>Keskkonna- ja maaküsimuste valdkond</w:t>
      </w:r>
    </w:p>
    <w:tbl>
      <w:tblPr>
        <w:tblStyle w:val="Kontuurtabel"/>
        <w:tblW w:w="0" w:type="auto"/>
        <w:tblInd w:w="0" w:type="dxa"/>
        <w:tblLook w:val="04A0" w:firstRow="1" w:lastRow="0" w:firstColumn="1" w:lastColumn="0" w:noHBand="0" w:noVBand="1"/>
      </w:tblPr>
      <w:tblGrid>
        <w:gridCol w:w="4496"/>
        <w:gridCol w:w="4520"/>
      </w:tblGrid>
      <w:tr w:rsidR="008E7A67" w:rsidRPr="008E7A67" w14:paraId="41D1D1ED" w14:textId="77777777" w:rsidTr="00F408B4">
        <w:trPr>
          <w:trHeight w:val="340"/>
        </w:trPr>
        <w:tc>
          <w:tcPr>
            <w:tcW w:w="4496" w:type="dxa"/>
            <w:shd w:val="clear" w:color="auto" w:fill="FFF2CC" w:themeFill="accent4" w:themeFillTint="33"/>
            <w:vAlign w:val="center"/>
          </w:tcPr>
          <w:p w14:paraId="48AFD5E4" w14:textId="77777777" w:rsidR="008E7A67" w:rsidRPr="008E7A67" w:rsidRDefault="008E7A67" w:rsidP="008E7A67">
            <w:pPr>
              <w:pStyle w:val="Vahedeta"/>
              <w:jc w:val="both"/>
              <w:rPr>
                <w:rFonts w:eastAsia="Times New Roman" w:cstheme="minorHAnsi"/>
                <w:b/>
                <w:color w:val="000000" w:themeColor="text1"/>
                <w:lang w:eastAsia="et-EE"/>
              </w:rPr>
            </w:pPr>
            <w:r w:rsidRPr="008E7A67">
              <w:rPr>
                <w:rFonts w:cstheme="minorHAnsi"/>
                <w:b/>
                <w:color w:val="000000" w:themeColor="text1"/>
              </w:rPr>
              <w:t>ELVL ettepanekud</w:t>
            </w:r>
          </w:p>
        </w:tc>
        <w:tc>
          <w:tcPr>
            <w:tcW w:w="4520" w:type="dxa"/>
            <w:shd w:val="clear" w:color="auto" w:fill="FFF2CC" w:themeFill="accent4" w:themeFillTint="33"/>
            <w:vAlign w:val="center"/>
          </w:tcPr>
          <w:p w14:paraId="1CAD5CE7" w14:textId="77777777" w:rsidR="008E7A67" w:rsidRPr="008E7A67" w:rsidRDefault="008E7A67" w:rsidP="008E7A67">
            <w:pPr>
              <w:pStyle w:val="Vahedeta"/>
              <w:jc w:val="both"/>
              <w:rPr>
                <w:rFonts w:eastAsia="Times New Roman" w:cstheme="minorHAnsi"/>
                <w:b/>
                <w:color w:val="000000" w:themeColor="text1"/>
                <w:lang w:eastAsia="et-EE"/>
              </w:rPr>
            </w:pPr>
            <w:r w:rsidRPr="008E7A67">
              <w:rPr>
                <w:rFonts w:cstheme="minorHAnsi"/>
                <w:b/>
                <w:color w:val="000000" w:themeColor="text1"/>
              </w:rPr>
              <w:t>Põhjendus</w:t>
            </w:r>
          </w:p>
        </w:tc>
      </w:tr>
      <w:tr w:rsidR="008E7A67" w:rsidRPr="008E7A67" w14:paraId="2F0A1443" w14:textId="77777777" w:rsidTr="00F408B4">
        <w:tc>
          <w:tcPr>
            <w:tcW w:w="4496" w:type="dxa"/>
          </w:tcPr>
          <w:p w14:paraId="296F39EE" w14:textId="77777777" w:rsidR="008E7A67" w:rsidRPr="008E7A67" w:rsidRDefault="008E7A67" w:rsidP="008E7A67">
            <w:pPr>
              <w:pStyle w:val="Vahedeta"/>
              <w:jc w:val="both"/>
              <w:rPr>
                <w:rFonts w:cstheme="minorHAnsi"/>
                <w:b/>
                <w:color w:val="000000" w:themeColor="text1"/>
              </w:rPr>
            </w:pPr>
            <w:r w:rsidRPr="008E7A67">
              <w:rPr>
                <w:rFonts w:cstheme="minorHAnsi"/>
                <w:b/>
                <w:color w:val="000000" w:themeColor="text1"/>
              </w:rPr>
              <w:t>Ettepanek 1</w:t>
            </w:r>
          </w:p>
          <w:p w14:paraId="2B0E2838" w14:textId="77777777" w:rsidR="008E7A67" w:rsidRPr="008E7A67" w:rsidRDefault="008E7A67" w:rsidP="00937F39">
            <w:pPr>
              <w:pStyle w:val="Standard"/>
              <w:spacing w:after="0" w:line="240" w:lineRule="auto"/>
              <w:jc w:val="both"/>
              <w:rPr>
                <w:rFonts w:asciiTheme="minorHAnsi" w:eastAsia="Times New Roman" w:hAnsiTheme="minorHAnsi" w:cstheme="minorHAnsi"/>
                <w:b/>
                <w:lang w:eastAsia="et-EE"/>
              </w:rPr>
            </w:pPr>
            <w:r w:rsidRPr="00937F39">
              <w:rPr>
                <w:rFonts w:asciiTheme="minorHAnsi" w:hAnsiTheme="minorHAnsi" w:cstheme="minorHAnsi"/>
                <w:bCs/>
                <w:sz w:val="22"/>
                <w:szCs w:val="22"/>
              </w:rPr>
              <w:t>Kavandada täiendavad vahendid jäätmete liigiti kogumise korraldamiseks</w:t>
            </w:r>
          </w:p>
        </w:tc>
        <w:tc>
          <w:tcPr>
            <w:tcW w:w="4520" w:type="dxa"/>
          </w:tcPr>
          <w:p w14:paraId="5929AE21" w14:textId="77777777" w:rsidR="008E7A67" w:rsidRPr="008E7A67" w:rsidRDefault="008E7A67" w:rsidP="008E7A67">
            <w:pPr>
              <w:pStyle w:val="Standard"/>
              <w:spacing w:after="0" w:line="240" w:lineRule="auto"/>
              <w:jc w:val="both"/>
              <w:rPr>
                <w:rFonts w:asciiTheme="minorHAnsi" w:eastAsia="Times New Roman" w:hAnsiTheme="minorHAnsi" w:cstheme="minorHAnsi"/>
                <w:sz w:val="22"/>
                <w:szCs w:val="22"/>
                <w:lang w:eastAsia="et-EE"/>
              </w:rPr>
            </w:pPr>
            <w:r w:rsidRPr="008E7A67">
              <w:rPr>
                <w:rFonts w:asciiTheme="minorHAnsi" w:hAnsiTheme="minorHAnsi" w:cstheme="minorHAnsi"/>
                <w:spacing w:val="-4"/>
                <w:sz w:val="22"/>
                <w:szCs w:val="22"/>
              </w:rPr>
              <w:t xml:space="preserve">Vajalik on jätkata läbirääkimisi, et kokku leppida vahendite  üleandmise tingimused, </w:t>
            </w:r>
            <w:r w:rsidRPr="008E7A67">
              <w:rPr>
                <w:rFonts w:asciiTheme="minorHAnsi" w:hAnsiTheme="minorHAnsi" w:cstheme="minorHAnsi"/>
                <w:bCs/>
                <w:sz w:val="22"/>
                <w:szCs w:val="22"/>
              </w:rPr>
              <w:t>jäätmehool</w:t>
            </w:r>
            <w:r>
              <w:rPr>
                <w:rFonts w:asciiTheme="minorHAnsi" w:hAnsiTheme="minorHAnsi" w:cstheme="minorHAnsi"/>
                <w:bCs/>
                <w:sz w:val="22"/>
                <w:szCs w:val="22"/>
              </w:rPr>
              <w:t>-</w:t>
            </w:r>
            <w:proofErr w:type="spellStart"/>
            <w:r w:rsidRPr="008E7A67">
              <w:rPr>
                <w:rFonts w:asciiTheme="minorHAnsi" w:hAnsiTheme="minorHAnsi" w:cstheme="minorHAnsi"/>
                <w:bCs/>
                <w:sz w:val="22"/>
                <w:szCs w:val="22"/>
              </w:rPr>
              <w:t>duse</w:t>
            </w:r>
            <w:proofErr w:type="spellEnd"/>
            <w:r w:rsidRPr="008E7A67">
              <w:rPr>
                <w:rFonts w:asciiTheme="minorHAnsi" w:hAnsiTheme="minorHAnsi" w:cstheme="minorHAnsi"/>
                <w:bCs/>
                <w:sz w:val="22"/>
                <w:szCs w:val="22"/>
              </w:rPr>
              <w:t xml:space="preserve"> arendamise rahastus on siiani ebaselge.</w:t>
            </w:r>
            <w:r w:rsidRPr="008E7A67">
              <w:rPr>
                <w:rFonts w:asciiTheme="minorHAnsi" w:hAnsiTheme="minorHAnsi" w:cstheme="minorHAnsi"/>
                <w:sz w:val="22"/>
                <w:szCs w:val="22"/>
              </w:rPr>
              <w:t xml:space="preserve"> </w:t>
            </w:r>
            <w:r w:rsidRPr="008E7A67">
              <w:rPr>
                <w:rFonts w:asciiTheme="minorHAnsi" w:hAnsiTheme="minorHAnsi" w:cstheme="minorHAnsi"/>
                <w:spacing w:val="-4"/>
                <w:sz w:val="22"/>
                <w:szCs w:val="22"/>
              </w:rPr>
              <w:t>Tingimuste täpsustamine ja vahendite jagamine aitab edendada liigiti kogumist ning liigiti kogutud materjalide ringlusse võtmist. Ühtlasi integreerida eraldatavad vahendid kohalike omavalitsuste tulubaasi, valmistades selleks ette õigusaktide muudatused.</w:t>
            </w:r>
          </w:p>
        </w:tc>
      </w:tr>
      <w:tr w:rsidR="008E7A67" w:rsidRPr="008E7A67" w14:paraId="74B1CE4C" w14:textId="77777777" w:rsidTr="00F408B4">
        <w:tc>
          <w:tcPr>
            <w:tcW w:w="4496" w:type="dxa"/>
          </w:tcPr>
          <w:p w14:paraId="30B813E0" w14:textId="77777777" w:rsidR="008E7A67" w:rsidRPr="008E7A67" w:rsidRDefault="008E7A67" w:rsidP="008E7A67">
            <w:pPr>
              <w:pStyle w:val="Vahedeta"/>
              <w:jc w:val="both"/>
              <w:rPr>
                <w:rFonts w:cstheme="minorHAnsi"/>
                <w:b/>
                <w:color w:val="000000" w:themeColor="text1"/>
              </w:rPr>
            </w:pPr>
            <w:r w:rsidRPr="008E7A67">
              <w:rPr>
                <w:rFonts w:cstheme="minorHAnsi"/>
                <w:b/>
                <w:color w:val="000000" w:themeColor="text1"/>
              </w:rPr>
              <w:t>Ettepanek 2</w:t>
            </w:r>
          </w:p>
          <w:p w14:paraId="20DF416F" w14:textId="22F611E1" w:rsidR="008E7A67" w:rsidRPr="008E7A67" w:rsidRDefault="008E7A67" w:rsidP="008E7A67">
            <w:pPr>
              <w:pStyle w:val="Standard"/>
              <w:spacing w:after="0" w:line="240" w:lineRule="auto"/>
              <w:jc w:val="both"/>
              <w:rPr>
                <w:rFonts w:asciiTheme="minorHAnsi" w:hAnsiTheme="minorHAnsi" w:cstheme="minorHAnsi"/>
                <w:sz w:val="22"/>
                <w:szCs w:val="22"/>
              </w:rPr>
            </w:pPr>
            <w:r w:rsidRPr="008E7A67">
              <w:rPr>
                <w:rFonts w:asciiTheme="minorHAnsi" w:hAnsiTheme="minorHAnsi" w:cstheme="minorHAnsi"/>
                <w:spacing w:val="-4"/>
                <w:sz w:val="22"/>
                <w:szCs w:val="22"/>
              </w:rPr>
              <w:t xml:space="preserve">Näha riigieelarves ette vahendid maamaksu vähenemise kompenseerimiseks kohalikele omavalitsustele, mis tuleneb riigi poolt kaitsealadele, loodusreservaatidele ja </w:t>
            </w:r>
            <w:proofErr w:type="spellStart"/>
            <w:r w:rsidRPr="008E7A67">
              <w:rPr>
                <w:rFonts w:asciiTheme="minorHAnsi" w:hAnsiTheme="minorHAnsi" w:cstheme="minorHAnsi"/>
                <w:spacing w:val="-4"/>
                <w:sz w:val="22"/>
                <w:szCs w:val="22"/>
              </w:rPr>
              <w:t>sihtkait</w:t>
            </w:r>
            <w:r>
              <w:rPr>
                <w:rFonts w:asciiTheme="minorHAnsi" w:hAnsiTheme="minorHAnsi" w:cstheme="minorHAnsi"/>
                <w:spacing w:val="-4"/>
                <w:sz w:val="22"/>
                <w:szCs w:val="22"/>
              </w:rPr>
              <w:t>-</w:t>
            </w:r>
            <w:r w:rsidRPr="008E7A67">
              <w:rPr>
                <w:rFonts w:asciiTheme="minorHAnsi" w:hAnsiTheme="minorHAnsi" w:cstheme="minorHAnsi"/>
                <w:spacing w:val="-4"/>
                <w:sz w:val="22"/>
                <w:szCs w:val="22"/>
              </w:rPr>
              <w:t>sevöönditele</w:t>
            </w:r>
            <w:proofErr w:type="spellEnd"/>
            <w:r w:rsidRPr="008E7A67">
              <w:rPr>
                <w:rFonts w:asciiTheme="minorHAnsi" w:hAnsiTheme="minorHAnsi" w:cstheme="minorHAnsi"/>
                <w:spacing w:val="-4"/>
                <w:sz w:val="22"/>
                <w:szCs w:val="22"/>
              </w:rPr>
              <w:t xml:space="preserve"> ning püsielupaikade sihtkaitse vöönditele kehtestatud maksusoodustustest. Lõpetada maksuvabastuste ja maksusoodustuste andmine maamaksust vabastamise või maamaksu vähendamise teel looduskaitsealuste ja muude looduskeskkonnakaitselistelt aladelt või </w:t>
            </w:r>
            <w:proofErr w:type="spellStart"/>
            <w:r w:rsidRPr="008E7A67">
              <w:rPr>
                <w:rFonts w:asciiTheme="minorHAnsi" w:hAnsiTheme="minorHAnsi" w:cstheme="minorHAnsi"/>
                <w:spacing w:val="-4"/>
                <w:sz w:val="22"/>
                <w:szCs w:val="22"/>
              </w:rPr>
              <w:t>kom</w:t>
            </w:r>
            <w:r>
              <w:rPr>
                <w:rFonts w:asciiTheme="minorHAnsi" w:hAnsiTheme="minorHAnsi" w:cstheme="minorHAnsi"/>
                <w:spacing w:val="-4"/>
                <w:sz w:val="22"/>
                <w:szCs w:val="22"/>
              </w:rPr>
              <w:t>-</w:t>
            </w:r>
            <w:r w:rsidRPr="008E7A67">
              <w:rPr>
                <w:rFonts w:asciiTheme="minorHAnsi" w:hAnsiTheme="minorHAnsi" w:cstheme="minorHAnsi"/>
                <w:spacing w:val="-4"/>
                <w:sz w:val="22"/>
                <w:szCs w:val="22"/>
              </w:rPr>
              <w:t>penseerida</w:t>
            </w:r>
            <w:proofErr w:type="spellEnd"/>
            <w:r w:rsidRPr="008E7A67">
              <w:rPr>
                <w:rFonts w:asciiTheme="minorHAnsi" w:hAnsiTheme="minorHAnsi" w:cstheme="minorHAnsi"/>
                <w:spacing w:val="-4"/>
                <w:sz w:val="22"/>
                <w:szCs w:val="22"/>
              </w:rPr>
              <w:t xml:space="preserve"> maksuvabastused riigieelarvest.</w:t>
            </w:r>
          </w:p>
          <w:p w14:paraId="2FDDF69F" w14:textId="77777777" w:rsidR="008E7A67" w:rsidRPr="008E7A67" w:rsidRDefault="008E7A67" w:rsidP="008E7A67">
            <w:pPr>
              <w:pStyle w:val="Standard"/>
              <w:spacing w:after="0" w:line="240" w:lineRule="auto"/>
              <w:jc w:val="both"/>
              <w:rPr>
                <w:rFonts w:asciiTheme="minorHAnsi" w:hAnsiTheme="minorHAnsi" w:cstheme="minorHAnsi"/>
                <w:sz w:val="22"/>
                <w:szCs w:val="22"/>
              </w:rPr>
            </w:pPr>
            <w:r w:rsidRPr="008E7A67">
              <w:rPr>
                <w:rFonts w:asciiTheme="minorHAnsi" w:hAnsiTheme="minorHAnsi" w:cstheme="minorHAnsi"/>
                <w:spacing w:val="-4"/>
                <w:sz w:val="22"/>
                <w:szCs w:val="22"/>
              </w:rPr>
              <w:t>Hüvitada maadele seatud piirangute tõttu omanike vähenenud tulud otse riigieelarvest erinevate toetusmeetmete arvel.</w:t>
            </w:r>
          </w:p>
          <w:p w14:paraId="714B0D8C" w14:textId="77777777" w:rsidR="008E7A67" w:rsidRPr="008E7A67" w:rsidRDefault="008E7A67" w:rsidP="008E7A67">
            <w:pPr>
              <w:pStyle w:val="Standard"/>
              <w:spacing w:after="0" w:line="240" w:lineRule="auto"/>
              <w:jc w:val="both"/>
              <w:rPr>
                <w:rFonts w:asciiTheme="minorHAnsi" w:hAnsiTheme="minorHAnsi" w:cstheme="minorHAnsi"/>
                <w:sz w:val="22"/>
                <w:szCs w:val="22"/>
              </w:rPr>
            </w:pPr>
          </w:p>
          <w:p w14:paraId="6753A141" w14:textId="77777777" w:rsidR="008E7A67" w:rsidRPr="008E7A67" w:rsidRDefault="008E7A67" w:rsidP="008E7A67">
            <w:pPr>
              <w:spacing w:after="0" w:line="240" w:lineRule="auto"/>
              <w:jc w:val="both"/>
              <w:rPr>
                <w:rFonts w:asciiTheme="minorHAnsi" w:eastAsia="Times New Roman" w:hAnsiTheme="minorHAnsi" w:cstheme="minorHAnsi"/>
                <w:b/>
                <w:lang w:eastAsia="et-EE"/>
              </w:rPr>
            </w:pPr>
          </w:p>
        </w:tc>
        <w:tc>
          <w:tcPr>
            <w:tcW w:w="4520" w:type="dxa"/>
          </w:tcPr>
          <w:p w14:paraId="0E5E1BF3" w14:textId="78EBFF1C" w:rsidR="008E7A67" w:rsidRPr="008E7A67" w:rsidRDefault="008E7A67" w:rsidP="008E7A67">
            <w:pPr>
              <w:pStyle w:val="Standard"/>
              <w:spacing w:after="0" w:line="240" w:lineRule="auto"/>
              <w:jc w:val="both"/>
              <w:rPr>
                <w:rFonts w:asciiTheme="minorHAnsi" w:hAnsiTheme="minorHAnsi" w:cstheme="minorHAnsi"/>
                <w:sz w:val="22"/>
                <w:szCs w:val="22"/>
              </w:rPr>
            </w:pPr>
            <w:r w:rsidRPr="008E7A67">
              <w:rPr>
                <w:rFonts w:asciiTheme="minorHAnsi" w:hAnsiTheme="minorHAnsi" w:cstheme="minorHAnsi"/>
                <w:spacing w:val="-4"/>
                <w:sz w:val="22"/>
                <w:szCs w:val="22"/>
                <w:u w:val="single"/>
              </w:rPr>
              <w:t>Taust ja põhjendus:</w:t>
            </w:r>
            <w:r w:rsidRPr="008E7A67">
              <w:rPr>
                <w:rFonts w:asciiTheme="minorHAnsi" w:hAnsiTheme="minorHAnsi" w:cstheme="minorHAnsi"/>
                <w:sz w:val="22"/>
                <w:szCs w:val="22"/>
              </w:rPr>
              <w:t xml:space="preserve">  </w:t>
            </w:r>
            <w:r w:rsidRPr="008E7A67">
              <w:rPr>
                <w:rFonts w:asciiTheme="minorHAnsi" w:hAnsiTheme="minorHAnsi" w:cstheme="minorHAnsi"/>
                <w:spacing w:val="-4"/>
                <w:sz w:val="22"/>
                <w:szCs w:val="22"/>
              </w:rPr>
              <w:t xml:space="preserve">Eesti maismaa pindalast on </w:t>
            </w:r>
            <w:r w:rsidR="00F82337">
              <w:rPr>
                <w:rFonts w:asciiTheme="minorHAnsi" w:hAnsiTheme="minorHAnsi" w:cstheme="minorHAnsi"/>
                <w:spacing w:val="-4"/>
                <w:sz w:val="22"/>
                <w:szCs w:val="22"/>
              </w:rPr>
              <w:t>3</w:t>
            </w:r>
            <w:r w:rsidRPr="008E7A67">
              <w:rPr>
                <w:rFonts w:asciiTheme="minorHAnsi" w:hAnsiTheme="minorHAnsi" w:cstheme="minorHAnsi"/>
                <w:spacing w:val="-4"/>
                <w:sz w:val="22"/>
                <w:szCs w:val="22"/>
              </w:rPr>
              <w:t>1.1</w:t>
            </w:r>
            <w:r w:rsidR="003C64D6">
              <w:rPr>
                <w:rFonts w:asciiTheme="minorHAnsi" w:hAnsiTheme="minorHAnsi" w:cstheme="minorHAnsi"/>
                <w:spacing w:val="-4"/>
                <w:sz w:val="22"/>
                <w:szCs w:val="22"/>
              </w:rPr>
              <w:t>2</w:t>
            </w:r>
            <w:r w:rsidRPr="008E7A67">
              <w:rPr>
                <w:rFonts w:asciiTheme="minorHAnsi" w:hAnsiTheme="minorHAnsi" w:cstheme="minorHAnsi"/>
                <w:spacing w:val="-4"/>
                <w:sz w:val="22"/>
                <w:szCs w:val="22"/>
              </w:rPr>
              <w:t>.201</w:t>
            </w:r>
            <w:r w:rsidR="003C64D6">
              <w:rPr>
                <w:rFonts w:asciiTheme="minorHAnsi" w:hAnsiTheme="minorHAnsi" w:cstheme="minorHAnsi"/>
                <w:spacing w:val="-4"/>
                <w:sz w:val="22"/>
                <w:szCs w:val="22"/>
              </w:rPr>
              <w:t>8</w:t>
            </w:r>
            <w:r w:rsidRPr="008E7A67">
              <w:rPr>
                <w:rFonts w:asciiTheme="minorHAnsi" w:hAnsiTheme="minorHAnsi" w:cstheme="minorHAnsi"/>
                <w:spacing w:val="-4"/>
                <w:sz w:val="22"/>
                <w:szCs w:val="22"/>
              </w:rPr>
              <w:t xml:space="preserve"> seisuga kaetud kaitstavate loodusobjektidega 18,</w:t>
            </w:r>
            <w:r w:rsidR="0017460A">
              <w:rPr>
                <w:rFonts w:asciiTheme="minorHAnsi" w:hAnsiTheme="minorHAnsi" w:cstheme="minorHAnsi"/>
                <w:spacing w:val="-4"/>
                <w:sz w:val="22"/>
                <w:szCs w:val="22"/>
              </w:rPr>
              <w:t>8</w:t>
            </w:r>
            <w:r w:rsidRPr="008E7A67">
              <w:rPr>
                <w:rFonts w:asciiTheme="minorHAnsi" w:hAnsiTheme="minorHAnsi" w:cstheme="minorHAnsi"/>
                <w:spacing w:val="-4"/>
                <w:sz w:val="22"/>
                <w:szCs w:val="22"/>
              </w:rPr>
              <w:t>% (8</w:t>
            </w:r>
            <w:r w:rsidR="007E3D96">
              <w:rPr>
                <w:rFonts w:asciiTheme="minorHAnsi" w:hAnsiTheme="minorHAnsi" w:cstheme="minorHAnsi"/>
                <w:spacing w:val="-4"/>
                <w:sz w:val="22"/>
                <w:szCs w:val="22"/>
              </w:rPr>
              <w:t>1</w:t>
            </w:r>
            <w:r w:rsidR="009F6069">
              <w:rPr>
                <w:rFonts w:asciiTheme="minorHAnsi" w:hAnsiTheme="minorHAnsi" w:cstheme="minorHAnsi"/>
                <w:spacing w:val="-4"/>
                <w:sz w:val="22"/>
                <w:szCs w:val="22"/>
              </w:rPr>
              <w:t>6</w:t>
            </w:r>
            <w:r w:rsidRPr="008E7A67">
              <w:rPr>
                <w:rFonts w:asciiTheme="minorHAnsi" w:hAnsiTheme="minorHAnsi" w:cstheme="minorHAnsi"/>
                <w:spacing w:val="-4"/>
                <w:sz w:val="22"/>
                <w:szCs w:val="22"/>
              </w:rPr>
              <w:t xml:space="preserve"> </w:t>
            </w:r>
            <w:r w:rsidR="009F6069">
              <w:rPr>
                <w:rFonts w:asciiTheme="minorHAnsi" w:hAnsiTheme="minorHAnsi" w:cstheme="minorHAnsi"/>
                <w:spacing w:val="-4"/>
                <w:sz w:val="22"/>
                <w:szCs w:val="22"/>
              </w:rPr>
              <w:t>556</w:t>
            </w:r>
            <w:r w:rsidRPr="008E7A67">
              <w:rPr>
                <w:rFonts w:asciiTheme="minorHAnsi" w:hAnsiTheme="minorHAnsi" w:cstheme="minorHAnsi"/>
                <w:spacing w:val="-4"/>
                <w:sz w:val="22"/>
                <w:szCs w:val="22"/>
              </w:rPr>
              <w:t xml:space="preserve"> ha). Kaitsealade kogupindalast on 71% riigiomandis, 27% eraomandis, 1% avalik-õiguslikus omandis ja 1% munitsipaalomandis.</w:t>
            </w:r>
          </w:p>
          <w:p w14:paraId="4B62EAE1"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u w:val="single"/>
              </w:rPr>
              <w:t>Mõju KOV eelarvetele:</w:t>
            </w:r>
            <w:r w:rsidRPr="008E7A67">
              <w:rPr>
                <w:rFonts w:asciiTheme="minorHAnsi" w:hAnsiTheme="minorHAnsi" w:cstheme="minorHAnsi"/>
                <w:spacing w:val="-4"/>
                <w:sz w:val="22"/>
                <w:szCs w:val="22"/>
              </w:rPr>
              <w:t xml:space="preserve"> Iga-aastaselt jääb </w:t>
            </w:r>
            <w:proofErr w:type="spellStart"/>
            <w:r w:rsidRPr="008E7A67">
              <w:rPr>
                <w:rFonts w:asciiTheme="minorHAnsi" w:hAnsiTheme="minorHAnsi" w:cstheme="minorHAnsi"/>
                <w:spacing w:val="-4"/>
                <w:sz w:val="22"/>
                <w:szCs w:val="22"/>
              </w:rPr>
              <w:t>KOV</w:t>
            </w:r>
            <w:r>
              <w:rPr>
                <w:rFonts w:asciiTheme="minorHAnsi" w:hAnsiTheme="minorHAnsi" w:cstheme="minorHAnsi"/>
                <w:spacing w:val="-4"/>
                <w:sz w:val="22"/>
                <w:szCs w:val="22"/>
              </w:rPr>
              <w:t>-</w:t>
            </w:r>
            <w:r w:rsidRPr="008E7A67">
              <w:rPr>
                <w:rFonts w:asciiTheme="minorHAnsi" w:hAnsiTheme="minorHAnsi" w:cstheme="minorHAnsi"/>
                <w:spacing w:val="-4"/>
                <w:sz w:val="22"/>
                <w:szCs w:val="22"/>
              </w:rPr>
              <w:t>idel</w:t>
            </w:r>
            <w:proofErr w:type="spellEnd"/>
            <w:r w:rsidRPr="008E7A67">
              <w:rPr>
                <w:rFonts w:asciiTheme="minorHAnsi" w:hAnsiTheme="minorHAnsi" w:cstheme="minorHAnsi"/>
                <w:spacing w:val="-4"/>
                <w:sz w:val="22"/>
                <w:szCs w:val="22"/>
              </w:rPr>
              <w:t xml:space="preserve"> looduskaitsealade maksusoodustuste tõttu saamata ca 3,1 m</w:t>
            </w:r>
            <w:r>
              <w:rPr>
                <w:rFonts w:asciiTheme="minorHAnsi" w:hAnsiTheme="minorHAnsi" w:cstheme="minorHAnsi"/>
                <w:spacing w:val="-4"/>
                <w:sz w:val="22"/>
                <w:szCs w:val="22"/>
              </w:rPr>
              <w:t>l</w:t>
            </w:r>
            <w:r w:rsidRPr="008E7A67">
              <w:rPr>
                <w:rFonts w:asciiTheme="minorHAnsi" w:hAnsiTheme="minorHAnsi" w:cstheme="minorHAnsi"/>
                <w:spacing w:val="-4"/>
                <w:sz w:val="22"/>
                <w:szCs w:val="22"/>
              </w:rPr>
              <w:t>n eurot</w:t>
            </w:r>
            <w:r w:rsidRPr="008E7A67">
              <w:rPr>
                <w:rStyle w:val="Allmrkuseviide"/>
                <w:rFonts w:asciiTheme="minorHAnsi" w:hAnsiTheme="minorHAnsi" w:cstheme="minorHAnsi"/>
                <w:sz w:val="22"/>
                <w:szCs w:val="22"/>
              </w:rPr>
              <w:footnoteReference w:id="1"/>
            </w:r>
            <w:r w:rsidRPr="008E7A67">
              <w:rPr>
                <w:rFonts w:asciiTheme="minorHAnsi" w:hAnsiTheme="minorHAnsi" w:cstheme="minorHAnsi"/>
                <w:spacing w:val="-4"/>
                <w:sz w:val="22"/>
                <w:szCs w:val="22"/>
              </w:rPr>
              <w:t xml:space="preserve">, millest 1,6 mln moodustavad maksuvabad sihtkaitsevööndi alad ning 1,5 mln 50% maksuvabastusega </w:t>
            </w:r>
            <w:proofErr w:type="spellStart"/>
            <w:r w:rsidRPr="008E7A67">
              <w:rPr>
                <w:rFonts w:asciiTheme="minorHAnsi" w:hAnsiTheme="minorHAnsi" w:cstheme="minorHAnsi"/>
                <w:spacing w:val="-4"/>
                <w:sz w:val="22"/>
                <w:szCs w:val="22"/>
              </w:rPr>
              <w:t>piiran</w:t>
            </w:r>
            <w:r>
              <w:rPr>
                <w:rFonts w:asciiTheme="minorHAnsi" w:hAnsiTheme="minorHAnsi" w:cstheme="minorHAnsi"/>
                <w:spacing w:val="-4"/>
                <w:sz w:val="22"/>
                <w:szCs w:val="22"/>
              </w:rPr>
              <w:t>-</w:t>
            </w:r>
            <w:r w:rsidRPr="008E7A67">
              <w:rPr>
                <w:rFonts w:asciiTheme="minorHAnsi" w:hAnsiTheme="minorHAnsi" w:cstheme="minorHAnsi"/>
                <w:spacing w:val="-4"/>
                <w:sz w:val="22"/>
                <w:szCs w:val="22"/>
              </w:rPr>
              <w:t>guvööndi</w:t>
            </w:r>
            <w:proofErr w:type="spellEnd"/>
            <w:r w:rsidRPr="008E7A67">
              <w:rPr>
                <w:rFonts w:asciiTheme="minorHAnsi" w:hAnsiTheme="minorHAnsi" w:cstheme="minorHAnsi"/>
                <w:spacing w:val="-4"/>
                <w:sz w:val="22"/>
                <w:szCs w:val="22"/>
              </w:rPr>
              <w:t xml:space="preserve"> alad. Kõige suuremad „kaotajad“</w:t>
            </w:r>
            <w:r w:rsidRPr="008E7A67">
              <w:rPr>
                <w:rStyle w:val="Allmrkuseviide"/>
                <w:rFonts w:asciiTheme="minorHAnsi" w:hAnsiTheme="minorHAnsi" w:cstheme="minorHAnsi"/>
                <w:sz w:val="22"/>
                <w:szCs w:val="22"/>
              </w:rPr>
              <w:footnoteReference w:id="2"/>
            </w:r>
            <w:r w:rsidRPr="008E7A67">
              <w:rPr>
                <w:rFonts w:asciiTheme="minorHAnsi" w:hAnsiTheme="minorHAnsi" w:cstheme="minorHAnsi"/>
                <w:spacing w:val="-4"/>
                <w:sz w:val="22"/>
                <w:szCs w:val="22"/>
                <w:vertAlign w:val="superscript"/>
              </w:rPr>
              <w:t xml:space="preserve"> </w:t>
            </w:r>
            <w:r w:rsidRPr="008E7A67">
              <w:rPr>
                <w:rFonts w:asciiTheme="minorHAnsi" w:hAnsiTheme="minorHAnsi" w:cstheme="minorHAnsi"/>
                <w:spacing w:val="-4"/>
                <w:sz w:val="22"/>
                <w:szCs w:val="22"/>
              </w:rPr>
              <w:t xml:space="preserve">on Tallinna linn (367 822), Kuusalu vald (175 969), Vihula vald (165 174) ja Suure-Jaani vald (120 917). Ca 80% </w:t>
            </w:r>
            <w:proofErr w:type="spellStart"/>
            <w:r w:rsidRPr="008E7A67">
              <w:rPr>
                <w:rFonts w:asciiTheme="minorHAnsi" w:hAnsiTheme="minorHAnsi" w:cstheme="minorHAnsi"/>
                <w:spacing w:val="-4"/>
                <w:sz w:val="22"/>
                <w:szCs w:val="22"/>
              </w:rPr>
              <w:t>KOV</w:t>
            </w:r>
            <w:r>
              <w:rPr>
                <w:rFonts w:asciiTheme="minorHAnsi" w:hAnsiTheme="minorHAnsi" w:cstheme="minorHAnsi"/>
                <w:spacing w:val="-4"/>
                <w:sz w:val="22"/>
                <w:szCs w:val="22"/>
              </w:rPr>
              <w:t>-</w:t>
            </w:r>
            <w:r w:rsidRPr="008E7A67">
              <w:rPr>
                <w:rFonts w:asciiTheme="minorHAnsi" w:hAnsiTheme="minorHAnsi" w:cstheme="minorHAnsi"/>
                <w:spacing w:val="-4"/>
                <w:sz w:val="22"/>
                <w:szCs w:val="22"/>
              </w:rPr>
              <w:t>ides</w:t>
            </w:r>
            <w:proofErr w:type="spellEnd"/>
            <w:r w:rsidRPr="008E7A67">
              <w:rPr>
                <w:rFonts w:asciiTheme="minorHAnsi" w:hAnsiTheme="minorHAnsi" w:cstheme="minorHAnsi"/>
                <w:spacing w:val="-4"/>
                <w:sz w:val="22"/>
                <w:szCs w:val="22"/>
              </w:rPr>
              <w:t xml:space="preserve"> on looduskaitsealadest tingitud maamaksu vähenemine üle 1000 euro.</w:t>
            </w:r>
          </w:p>
          <w:p w14:paraId="2CD99D05" w14:textId="77777777" w:rsidR="008E7A67" w:rsidRPr="008E7A67" w:rsidRDefault="008E7A67" w:rsidP="008E7A67">
            <w:pPr>
              <w:pStyle w:val="Standard"/>
              <w:spacing w:after="0" w:line="240" w:lineRule="auto"/>
              <w:jc w:val="both"/>
              <w:rPr>
                <w:rFonts w:asciiTheme="minorHAnsi" w:hAnsiTheme="minorHAnsi" w:cstheme="minorHAnsi"/>
                <w:sz w:val="22"/>
                <w:szCs w:val="22"/>
              </w:rPr>
            </w:pPr>
            <w:r w:rsidRPr="008E7A67">
              <w:rPr>
                <w:rFonts w:asciiTheme="minorHAnsi" w:hAnsiTheme="minorHAnsi" w:cstheme="minorHAnsi"/>
                <w:spacing w:val="-4"/>
                <w:sz w:val="22"/>
                <w:szCs w:val="22"/>
              </w:rPr>
              <w:t xml:space="preserve">Looduskaitsealadest tingitud maamaksu </w:t>
            </w:r>
            <w:proofErr w:type="spellStart"/>
            <w:r w:rsidRPr="008E7A67">
              <w:rPr>
                <w:rFonts w:asciiTheme="minorHAnsi" w:hAnsiTheme="minorHAnsi" w:cstheme="minorHAnsi"/>
                <w:spacing w:val="-4"/>
                <w:sz w:val="22"/>
                <w:szCs w:val="22"/>
              </w:rPr>
              <w:t>vähene</w:t>
            </w:r>
            <w:r>
              <w:rPr>
                <w:rFonts w:asciiTheme="minorHAnsi" w:hAnsiTheme="minorHAnsi" w:cstheme="minorHAnsi"/>
                <w:spacing w:val="-4"/>
                <w:sz w:val="22"/>
                <w:szCs w:val="22"/>
              </w:rPr>
              <w:t>-</w:t>
            </w:r>
            <w:r w:rsidRPr="008E7A67">
              <w:rPr>
                <w:rFonts w:asciiTheme="minorHAnsi" w:hAnsiTheme="minorHAnsi" w:cstheme="minorHAnsi"/>
                <w:spacing w:val="-4"/>
                <w:sz w:val="22"/>
                <w:szCs w:val="22"/>
              </w:rPr>
              <w:t>mist</w:t>
            </w:r>
            <w:proofErr w:type="spellEnd"/>
            <w:r w:rsidRPr="008E7A67">
              <w:rPr>
                <w:rFonts w:asciiTheme="minorHAnsi" w:hAnsiTheme="minorHAnsi" w:cstheme="minorHAnsi"/>
                <w:spacing w:val="-4"/>
                <w:sz w:val="22"/>
                <w:szCs w:val="22"/>
              </w:rPr>
              <w:t xml:space="preserve"> </w:t>
            </w:r>
            <w:proofErr w:type="spellStart"/>
            <w:r w:rsidRPr="008E7A67">
              <w:rPr>
                <w:rFonts w:asciiTheme="minorHAnsi" w:hAnsiTheme="minorHAnsi" w:cstheme="minorHAnsi"/>
                <w:spacing w:val="-4"/>
                <w:sz w:val="22"/>
                <w:szCs w:val="22"/>
              </w:rPr>
              <w:t>KOVidele</w:t>
            </w:r>
            <w:proofErr w:type="spellEnd"/>
            <w:r w:rsidRPr="008E7A67">
              <w:rPr>
                <w:rFonts w:asciiTheme="minorHAnsi" w:hAnsiTheme="minorHAnsi" w:cstheme="minorHAnsi"/>
                <w:spacing w:val="-4"/>
                <w:sz w:val="22"/>
                <w:szCs w:val="22"/>
              </w:rPr>
              <w:t xml:space="preserve"> otseselt ei kompenseerita. Ta</w:t>
            </w:r>
            <w:r>
              <w:rPr>
                <w:rFonts w:asciiTheme="minorHAnsi" w:hAnsiTheme="minorHAnsi" w:cstheme="minorHAnsi"/>
                <w:spacing w:val="-4"/>
                <w:sz w:val="22"/>
                <w:szCs w:val="22"/>
              </w:rPr>
              <w:t>-</w:t>
            </w:r>
            <w:proofErr w:type="spellStart"/>
            <w:r w:rsidRPr="008E7A67">
              <w:rPr>
                <w:rFonts w:asciiTheme="minorHAnsi" w:hAnsiTheme="minorHAnsi" w:cstheme="minorHAnsi"/>
                <w:spacing w:val="-4"/>
                <w:sz w:val="22"/>
                <w:szCs w:val="22"/>
              </w:rPr>
              <w:t>sandusfond</w:t>
            </w:r>
            <w:r>
              <w:rPr>
                <w:rFonts w:asciiTheme="minorHAnsi" w:hAnsiTheme="minorHAnsi" w:cstheme="minorHAnsi"/>
                <w:spacing w:val="-4"/>
                <w:sz w:val="22"/>
                <w:szCs w:val="22"/>
              </w:rPr>
              <w:t>i</w:t>
            </w:r>
            <w:proofErr w:type="spellEnd"/>
            <w:r w:rsidRPr="008E7A67">
              <w:rPr>
                <w:rFonts w:asciiTheme="minorHAnsi" w:hAnsiTheme="minorHAnsi" w:cstheme="minorHAnsi"/>
                <w:spacing w:val="-4"/>
                <w:sz w:val="22"/>
                <w:szCs w:val="22"/>
              </w:rPr>
              <w:t xml:space="preserve"> jaotamisel arvestatakse KOVi </w:t>
            </w:r>
            <w:proofErr w:type="spellStart"/>
            <w:r w:rsidRPr="008E7A67">
              <w:rPr>
                <w:rFonts w:asciiTheme="minorHAnsi" w:hAnsiTheme="minorHAnsi" w:cstheme="minorHAnsi"/>
                <w:spacing w:val="-4"/>
                <w:sz w:val="22"/>
                <w:szCs w:val="22"/>
              </w:rPr>
              <w:t>väikse</w:t>
            </w:r>
            <w:r>
              <w:rPr>
                <w:rFonts w:asciiTheme="minorHAnsi" w:hAnsiTheme="minorHAnsi" w:cstheme="minorHAnsi"/>
                <w:spacing w:val="-4"/>
                <w:sz w:val="22"/>
                <w:szCs w:val="22"/>
              </w:rPr>
              <w:t>-</w:t>
            </w:r>
            <w:r w:rsidRPr="008E7A67">
              <w:rPr>
                <w:rFonts w:asciiTheme="minorHAnsi" w:hAnsiTheme="minorHAnsi" w:cstheme="minorHAnsi"/>
                <w:spacing w:val="-4"/>
                <w:sz w:val="22"/>
                <w:szCs w:val="22"/>
              </w:rPr>
              <w:t>ma</w:t>
            </w:r>
            <w:proofErr w:type="spellEnd"/>
            <w:r w:rsidRPr="008E7A67">
              <w:rPr>
                <w:rFonts w:asciiTheme="minorHAnsi" w:hAnsiTheme="minorHAnsi" w:cstheme="minorHAnsi"/>
                <w:spacing w:val="-4"/>
                <w:sz w:val="22"/>
                <w:szCs w:val="22"/>
              </w:rPr>
              <w:t xml:space="preserve"> maamaksulaekumisega ning saamata jääva maamaksu tõttu on tasandusfond suurem</w:t>
            </w:r>
            <w:r w:rsidRPr="008E7A67">
              <w:rPr>
                <w:rStyle w:val="Allmrkuseviide"/>
                <w:rFonts w:asciiTheme="minorHAnsi" w:hAnsiTheme="minorHAnsi" w:cstheme="minorHAnsi"/>
                <w:sz w:val="22"/>
                <w:szCs w:val="22"/>
              </w:rPr>
              <w:footnoteReference w:id="3"/>
            </w:r>
            <w:r w:rsidRPr="008E7A67">
              <w:rPr>
                <w:rFonts w:asciiTheme="minorHAnsi" w:hAnsiTheme="minorHAnsi" w:cstheme="minorHAnsi"/>
                <w:spacing w:val="-4"/>
                <w:sz w:val="22"/>
                <w:szCs w:val="22"/>
              </w:rPr>
              <w:t>. Tasandusfondi mitte saava KOVi jaoks selline võimalus puudub.</w:t>
            </w:r>
          </w:p>
          <w:p w14:paraId="33699625" w14:textId="77777777" w:rsidR="008E7A67" w:rsidRPr="008E7A67" w:rsidRDefault="008E7A67" w:rsidP="008E7A67">
            <w:pPr>
              <w:pStyle w:val="Standard"/>
              <w:spacing w:after="0" w:line="240" w:lineRule="auto"/>
              <w:jc w:val="both"/>
              <w:rPr>
                <w:rFonts w:asciiTheme="minorHAnsi" w:eastAsia="Times New Roman" w:hAnsiTheme="minorHAnsi" w:cstheme="minorHAnsi"/>
                <w:sz w:val="22"/>
                <w:szCs w:val="22"/>
                <w:lang w:eastAsia="et-EE"/>
              </w:rPr>
            </w:pPr>
            <w:r w:rsidRPr="008E7A67">
              <w:rPr>
                <w:rFonts w:asciiTheme="minorHAnsi" w:hAnsiTheme="minorHAnsi" w:cstheme="minorHAnsi"/>
                <w:spacing w:val="-4"/>
                <w:sz w:val="22"/>
                <w:szCs w:val="22"/>
              </w:rPr>
              <w:t xml:space="preserve">Ettepanek on, et raha laekuks </w:t>
            </w:r>
            <w:proofErr w:type="spellStart"/>
            <w:r w:rsidRPr="008E7A67">
              <w:rPr>
                <w:rFonts w:asciiTheme="minorHAnsi" w:hAnsiTheme="minorHAnsi" w:cstheme="minorHAnsi"/>
                <w:spacing w:val="-4"/>
                <w:sz w:val="22"/>
                <w:szCs w:val="22"/>
              </w:rPr>
              <w:t>KOV</w:t>
            </w:r>
            <w:r>
              <w:rPr>
                <w:rFonts w:asciiTheme="minorHAnsi" w:hAnsiTheme="minorHAnsi" w:cstheme="minorHAnsi"/>
                <w:spacing w:val="-4"/>
                <w:sz w:val="22"/>
                <w:szCs w:val="22"/>
              </w:rPr>
              <w:t>-</w:t>
            </w:r>
            <w:r w:rsidRPr="008E7A67">
              <w:rPr>
                <w:rFonts w:asciiTheme="minorHAnsi" w:hAnsiTheme="minorHAnsi" w:cstheme="minorHAnsi"/>
                <w:spacing w:val="-4"/>
                <w:sz w:val="22"/>
                <w:szCs w:val="22"/>
              </w:rPr>
              <w:t>ile</w:t>
            </w:r>
            <w:proofErr w:type="spellEnd"/>
            <w:r w:rsidRPr="008E7A67">
              <w:rPr>
                <w:rFonts w:asciiTheme="minorHAnsi" w:hAnsiTheme="minorHAnsi" w:cstheme="minorHAnsi"/>
                <w:spacing w:val="-4"/>
                <w:sz w:val="22"/>
                <w:szCs w:val="22"/>
              </w:rPr>
              <w:t xml:space="preserve"> eraldi reana.</w:t>
            </w:r>
          </w:p>
        </w:tc>
      </w:tr>
      <w:tr w:rsidR="008E7A67" w:rsidRPr="008E7A67" w14:paraId="75526DA7" w14:textId="77777777" w:rsidTr="00F408B4">
        <w:tc>
          <w:tcPr>
            <w:tcW w:w="4496" w:type="dxa"/>
          </w:tcPr>
          <w:p w14:paraId="6444370A" w14:textId="77777777" w:rsidR="008E7A67" w:rsidRPr="008E7A67" w:rsidRDefault="008E7A67" w:rsidP="008E7A67">
            <w:pPr>
              <w:pStyle w:val="Vahedeta"/>
              <w:jc w:val="both"/>
              <w:rPr>
                <w:rFonts w:cstheme="minorHAnsi"/>
                <w:b/>
                <w:color w:val="000000" w:themeColor="text1"/>
              </w:rPr>
            </w:pPr>
            <w:r w:rsidRPr="008E7A67">
              <w:rPr>
                <w:rFonts w:cstheme="minorHAnsi"/>
                <w:b/>
                <w:color w:val="000000" w:themeColor="text1"/>
              </w:rPr>
              <w:t>Ettepanek 3</w:t>
            </w:r>
          </w:p>
          <w:p w14:paraId="2800572C" w14:textId="3FA8D983"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Eraldada vahendid riigi- ja jätkuvalt riigi omandis olevate maade</w:t>
            </w:r>
            <w:r w:rsidR="00A169B0">
              <w:rPr>
                <w:rFonts w:asciiTheme="minorHAnsi" w:hAnsiTheme="minorHAnsi" w:cstheme="minorHAnsi"/>
                <w:spacing w:val="-4"/>
                <w:sz w:val="22"/>
                <w:szCs w:val="22"/>
              </w:rPr>
              <w:t>, kinnistute</w:t>
            </w:r>
            <w:r w:rsidR="009566D4">
              <w:rPr>
                <w:rFonts w:asciiTheme="minorHAnsi" w:hAnsiTheme="minorHAnsi" w:cstheme="minorHAnsi"/>
                <w:spacing w:val="-4"/>
                <w:sz w:val="22"/>
                <w:szCs w:val="22"/>
              </w:rPr>
              <w:t>, maaüksuste</w:t>
            </w:r>
            <w:r w:rsidR="007B343F">
              <w:rPr>
                <w:rFonts w:asciiTheme="minorHAnsi" w:hAnsiTheme="minorHAnsi" w:cstheme="minorHAnsi"/>
                <w:spacing w:val="-4"/>
                <w:sz w:val="22"/>
                <w:szCs w:val="22"/>
              </w:rPr>
              <w:t xml:space="preserve"> koristamiseks</w:t>
            </w:r>
            <w:r w:rsidR="00D3727D">
              <w:rPr>
                <w:rFonts w:asciiTheme="minorHAnsi" w:hAnsiTheme="minorHAnsi" w:cstheme="minorHAnsi"/>
                <w:spacing w:val="-4"/>
                <w:sz w:val="22"/>
                <w:szCs w:val="22"/>
              </w:rPr>
              <w:t xml:space="preserve"> hüljatud jäätmetest</w:t>
            </w:r>
            <w:r w:rsidRPr="008E7A67">
              <w:rPr>
                <w:rFonts w:asciiTheme="minorHAnsi" w:hAnsiTheme="minorHAnsi" w:cstheme="minorHAnsi"/>
                <w:spacing w:val="-4"/>
                <w:sz w:val="22"/>
                <w:szCs w:val="22"/>
              </w:rPr>
              <w:t xml:space="preserve"> ja riigi omandis olevate avalike veekogude ja nende kaldaalade hooldamiseks.</w:t>
            </w:r>
          </w:p>
          <w:p w14:paraId="301CF2F9" w14:textId="29EA6BDA" w:rsidR="008E7A67" w:rsidRPr="008E7A67" w:rsidRDefault="00D3727D" w:rsidP="008E7A67">
            <w:pPr>
              <w:spacing w:after="0" w:line="240" w:lineRule="auto"/>
              <w:jc w:val="both"/>
              <w:rPr>
                <w:rFonts w:asciiTheme="minorHAnsi" w:eastAsia="Times New Roman" w:hAnsiTheme="minorHAnsi" w:cstheme="minorHAnsi"/>
                <w:b/>
                <w:lang w:eastAsia="et-EE"/>
              </w:rPr>
            </w:pPr>
            <w:r w:rsidRPr="008E7A67">
              <w:rPr>
                <w:rFonts w:asciiTheme="minorHAnsi" w:hAnsiTheme="minorHAnsi" w:cstheme="minorHAnsi"/>
                <w:spacing w:val="-4"/>
              </w:rPr>
              <w:t xml:space="preserve">Võõrandada </w:t>
            </w:r>
            <w:proofErr w:type="spellStart"/>
            <w:r w:rsidRPr="008E7A67">
              <w:rPr>
                <w:rFonts w:asciiTheme="minorHAnsi" w:hAnsiTheme="minorHAnsi" w:cstheme="minorHAnsi"/>
                <w:spacing w:val="-4"/>
              </w:rPr>
              <w:t>KOVidele</w:t>
            </w:r>
            <w:proofErr w:type="spellEnd"/>
            <w:r w:rsidR="00E7580F">
              <w:rPr>
                <w:rFonts w:asciiTheme="minorHAnsi" w:hAnsiTheme="minorHAnsi" w:cstheme="minorHAnsi"/>
                <w:spacing w:val="-4"/>
              </w:rPr>
              <w:t xml:space="preserve"> taotluse alusel</w:t>
            </w:r>
            <w:r w:rsidRPr="008E7A67">
              <w:rPr>
                <w:rFonts w:asciiTheme="minorHAnsi" w:hAnsiTheme="minorHAnsi" w:cstheme="minorHAnsi"/>
                <w:spacing w:val="-4"/>
              </w:rPr>
              <w:t xml:space="preserve"> </w:t>
            </w:r>
            <w:r w:rsidR="00E7580F" w:rsidRPr="008E7A67">
              <w:rPr>
                <w:rFonts w:asciiTheme="minorHAnsi" w:hAnsiTheme="minorHAnsi" w:cstheme="minorHAnsi"/>
                <w:spacing w:val="-4"/>
              </w:rPr>
              <w:t xml:space="preserve">riigi maareservist </w:t>
            </w:r>
            <w:r w:rsidR="00B8448B">
              <w:rPr>
                <w:rFonts w:asciiTheme="minorHAnsi" w:hAnsiTheme="minorHAnsi" w:cstheme="minorHAnsi"/>
                <w:spacing w:val="-4"/>
              </w:rPr>
              <w:t>kõne all olevad objektid</w:t>
            </w:r>
            <w:r w:rsidR="00E7580F">
              <w:rPr>
                <w:rFonts w:asciiTheme="minorHAnsi" w:hAnsiTheme="minorHAnsi" w:cstheme="minorHAnsi"/>
                <w:spacing w:val="-4"/>
              </w:rPr>
              <w:t xml:space="preserve">, </w:t>
            </w:r>
            <w:r w:rsidR="005F4CF8">
              <w:rPr>
                <w:rFonts w:asciiTheme="minorHAnsi" w:hAnsiTheme="minorHAnsi" w:cstheme="minorHAnsi"/>
                <w:spacing w:val="-4"/>
              </w:rPr>
              <w:t xml:space="preserve">mille hooldamisega </w:t>
            </w:r>
            <w:r w:rsidR="00636390">
              <w:rPr>
                <w:rFonts w:asciiTheme="minorHAnsi" w:hAnsiTheme="minorHAnsi" w:cstheme="minorHAnsi"/>
                <w:spacing w:val="-4"/>
              </w:rPr>
              <w:t xml:space="preserve">saaksid </w:t>
            </w:r>
            <w:proofErr w:type="spellStart"/>
            <w:r w:rsidR="00636390">
              <w:rPr>
                <w:rFonts w:asciiTheme="minorHAnsi" w:hAnsiTheme="minorHAnsi" w:cstheme="minorHAnsi"/>
                <w:spacing w:val="-4"/>
              </w:rPr>
              <w:t>KOVid</w:t>
            </w:r>
            <w:proofErr w:type="spellEnd"/>
            <w:r w:rsidR="00636390">
              <w:rPr>
                <w:rFonts w:asciiTheme="minorHAnsi" w:hAnsiTheme="minorHAnsi" w:cstheme="minorHAnsi"/>
                <w:spacing w:val="-4"/>
              </w:rPr>
              <w:t xml:space="preserve"> operatiivsemalt tegeleda</w:t>
            </w:r>
            <w:r w:rsidR="00BE3B7D">
              <w:rPr>
                <w:rFonts w:asciiTheme="minorHAnsi" w:hAnsiTheme="minorHAnsi" w:cstheme="minorHAnsi"/>
                <w:spacing w:val="-4"/>
              </w:rPr>
              <w:t>.</w:t>
            </w:r>
          </w:p>
        </w:tc>
        <w:tc>
          <w:tcPr>
            <w:tcW w:w="4520" w:type="dxa"/>
          </w:tcPr>
          <w:p w14:paraId="61A218F1"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Tegu on heakorra küsimusega. Kohalike omavalitsustel on võimekus tegeleda hooldusega operatiivselt. </w:t>
            </w:r>
          </w:p>
          <w:p w14:paraId="22A3B144"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Hetkel Keskkonnaministeeriumi valitsemisel </w:t>
            </w:r>
            <w:proofErr w:type="spellStart"/>
            <w:r w:rsidRPr="008E7A67">
              <w:rPr>
                <w:rFonts w:asciiTheme="minorHAnsi" w:hAnsiTheme="minorHAnsi" w:cstheme="minorHAnsi"/>
                <w:spacing w:val="-4"/>
                <w:sz w:val="22"/>
                <w:szCs w:val="22"/>
              </w:rPr>
              <w:t>ole</w:t>
            </w:r>
            <w:r>
              <w:rPr>
                <w:rFonts w:asciiTheme="minorHAnsi" w:hAnsiTheme="minorHAnsi" w:cstheme="minorHAnsi"/>
                <w:spacing w:val="-4"/>
                <w:sz w:val="22"/>
                <w:szCs w:val="22"/>
              </w:rPr>
              <w:t>-</w:t>
            </w:r>
            <w:r w:rsidRPr="008E7A67">
              <w:rPr>
                <w:rFonts w:asciiTheme="minorHAnsi" w:hAnsiTheme="minorHAnsi" w:cstheme="minorHAnsi"/>
                <w:spacing w:val="-4"/>
                <w:sz w:val="22"/>
                <w:szCs w:val="22"/>
              </w:rPr>
              <w:t>vate</w:t>
            </w:r>
            <w:proofErr w:type="spellEnd"/>
            <w:r w:rsidRPr="008E7A67">
              <w:rPr>
                <w:rFonts w:asciiTheme="minorHAnsi" w:hAnsiTheme="minorHAnsi" w:cstheme="minorHAnsi"/>
                <w:spacing w:val="-4"/>
                <w:sz w:val="22"/>
                <w:szCs w:val="22"/>
              </w:rPr>
              <w:t xml:space="preserve"> riigimaade ja riigi omandis olevate avalike veekogude ja nende kaldaalade hooldamise kulud ja Maa-ameti omandis olevate riigi omandis ja jätkuvalt riigi omandis olevate kinnistute</w:t>
            </w:r>
            <w:r>
              <w:rPr>
                <w:rFonts w:asciiTheme="minorHAnsi" w:hAnsiTheme="minorHAnsi" w:cstheme="minorHAnsi"/>
                <w:spacing w:val="-4"/>
                <w:sz w:val="22"/>
                <w:szCs w:val="22"/>
              </w:rPr>
              <w:t xml:space="preserve"> </w:t>
            </w:r>
            <w:r w:rsidRPr="008E7A67">
              <w:rPr>
                <w:rFonts w:asciiTheme="minorHAnsi" w:hAnsiTheme="minorHAnsi" w:cstheme="minorHAnsi"/>
                <w:spacing w:val="-4"/>
                <w:sz w:val="22"/>
                <w:szCs w:val="22"/>
              </w:rPr>
              <w:t xml:space="preserve">maaüksuste hooldamine ja jäätmetest koristamise kulud peaksid olema kaetud riigieelarvest. </w:t>
            </w:r>
          </w:p>
          <w:p w14:paraId="7CD43DC3" w14:textId="77777777" w:rsidR="008E7A67" w:rsidRPr="008E7A67" w:rsidRDefault="008E7A67" w:rsidP="008E7A67">
            <w:pPr>
              <w:spacing w:after="0" w:line="240" w:lineRule="auto"/>
              <w:jc w:val="both"/>
              <w:rPr>
                <w:rFonts w:asciiTheme="minorHAnsi" w:eastAsia="Times New Roman" w:hAnsiTheme="minorHAnsi" w:cstheme="minorHAnsi"/>
                <w:lang w:eastAsia="et-EE"/>
              </w:rPr>
            </w:pPr>
            <w:r w:rsidRPr="008E7A67">
              <w:rPr>
                <w:rFonts w:asciiTheme="minorHAnsi" w:hAnsiTheme="minorHAnsi" w:cstheme="minorHAnsi"/>
                <w:spacing w:val="-4"/>
              </w:rPr>
              <w:lastRenderedPageBreak/>
              <w:t>Hooldamine aitab ära hoida bioloogilise mitmekesisuse vähenemist ja tagab kaitstavatel aladel ohustatud liikide säilimise.</w:t>
            </w:r>
          </w:p>
        </w:tc>
      </w:tr>
      <w:tr w:rsidR="008E7A67" w:rsidRPr="008E7A67" w14:paraId="552D170A" w14:textId="77777777" w:rsidTr="00F408B4">
        <w:tc>
          <w:tcPr>
            <w:tcW w:w="4496" w:type="dxa"/>
          </w:tcPr>
          <w:p w14:paraId="76459DC5" w14:textId="77777777" w:rsidR="008E7A67" w:rsidRPr="008E7A67" w:rsidRDefault="008E7A67" w:rsidP="008E7A67">
            <w:pPr>
              <w:pStyle w:val="Vahedeta"/>
              <w:jc w:val="both"/>
              <w:rPr>
                <w:rFonts w:cstheme="minorHAnsi"/>
                <w:b/>
                <w:color w:val="000000" w:themeColor="text1"/>
              </w:rPr>
            </w:pPr>
            <w:r w:rsidRPr="008E7A67">
              <w:rPr>
                <w:rFonts w:cstheme="minorHAnsi"/>
                <w:b/>
                <w:color w:val="000000" w:themeColor="text1"/>
              </w:rPr>
              <w:lastRenderedPageBreak/>
              <w:t>Ettepanek 4</w:t>
            </w:r>
          </w:p>
          <w:p w14:paraId="67C28361" w14:textId="58BE28C7" w:rsidR="008E7A67" w:rsidRPr="008E7A67" w:rsidRDefault="008E7A67" w:rsidP="00E420EC">
            <w:pPr>
              <w:pStyle w:val="Standard"/>
              <w:spacing w:after="0" w:line="240" w:lineRule="auto"/>
              <w:jc w:val="both"/>
              <w:rPr>
                <w:rFonts w:asciiTheme="minorHAnsi" w:eastAsia="Times New Roman" w:hAnsiTheme="minorHAnsi" w:cstheme="minorHAnsi"/>
                <w:b/>
                <w:sz w:val="22"/>
                <w:szCs w:val="22"/>
                <w:lang w:eastAsia="et-EE"/>
              </w:rPr>
            </w:pPr>
            <w:r w:rsidRPr="008E7A67">
              <w:rPr>
                <w:rFonts w:asciiTheme="minorHAnsi" w:hAnsiTheme="minorHAnsi" w:cstheme="minorHAnsi"/>
                <w:sz w:val="22"/>
                <w:szCs w:val="22"/>
              </w:rPr>
              <w:t xml:space="preserve">Rääkida läbi laekuvate keskkonnatasude jaotumine ning määrata kõigi keskkonnatasude liikide ja komponentide osas kindlad protsendid, kui suur osa laekunud tasudest peaks kompenseerima </w:t>
            </w:r>
            <w:proofErr w:type="spellStart"/>
            <w:r w:rsidRPr="008E7A67">
              <w:rPr>
                <w:rFonts w:asciiTheme="minorHAnsi" w:hAnsiTheme="minorHAnsi" w:cstheme="minorHAnsi"/>
                <w:sz w:val="22"/>
                <w:szCs w:val="22"/>
              </w:rPr>
              <w:t>KOV</w:t>
            </w:r>
            <w:r w:rsidR="00E420EC">
              <w:rPr>
                <w:rFonts w:asciiTheme="minorHAnsi" w:hAnsiTheme="minorHAnsi" w:cstheme="minorHAnsi"/>
                <w:sz w:val="22"/>
                <w:szCs w:val="22"/>
              </w:rPr>
              <w:t>-</w:t>
            </w:r>
            <w:r w:rsidRPr="008E7A67">
              <w:rPr>
                <w:rFonts w:asciiTheme="minorHAnsi" w:hAnsiTheme="minorHAnsi" w:cstheme="minorHAnsi"/>
                <w:sz w:val="22"/>
                <w:szCs w:val="22"/>
              </w:rPr>
              <w:t>ile</w:t>
            </w:r>
            <w:proofErr w:type="spellEnd"/>
            <w:r w:rsidRPr="008E7A67">
              <w:rPr>
                <w:rFonts w:asciiTheme="minorHAnsi" w:hAnsiTheme="minorHAnsi" w:cstheme="minorHAnsi"/>
                <w:sz w:val="22"/>
                <w:szCs w:val="22"/>
              </w:rPr>
              <w:t xml:space="preserve"> välismõjud</w:t>
            </w:r>
            <w:r w:rsidR="009645CA">
              <w:rPr>
                <w:rFonts w:asciiTheme="minorHAnsi" w:hAnsiTheme="minorHAnsi" w:cstheme="minorHAnsi"/>
                <w:sz w:val="22"/>
                <w:szCs w:val="22"/>
                <w:vertAlign w:val="superscript"/>
              </w:rPr>
              <w:t xml:space="preserve"> </w:t>
            </w:r>
            <w:r w:rsidRPr="008E7A67">
              <w:rPr>
                <w:rFonts w:asciiTheme="minorHAnsi" w:hAnsiTheme="minorHAnsi" w:cstheme="minorHAnsi"/>
                <w:sz w:val="22"/>
                <w:szCs w:val="22"/>
              </w:rPr>
              <w:t xml:space="preserve">ning võimaldama </w:t>
            </w:r>
            <w:proofErr w:type="spellStart"/>
            <w:r w:rsidRPr="008E7A67">
              <w:rPr>
                <w:rFonts w:asciiTheme="minorHAnsi" w:hAnsiTheme="minorHAnsi" w:cstheme="minorHAnsi"/>
                <w:sz w:val="22"/>
                <w:szCs w:val="22"/>
              </w:rPr>
              <w:t>KOV</w:t>
            </w:r>
            <w:r w:rsidR="00E420EC">
              <w:rPr>
                <w:rFonts w:asciiTheme="minorHAnsi" w:hAnsiTheme="minorHAnsi" w:cstheme="minorHAnsi"/>
                <w:sz w:val="22"/>
                <w:szCs w:val="22"/>
              </w:rPr>
              <w:t>-</w:t>
            </w:r>
            <w:r w:rsidRPr="008E7A67">
              <w:rPr>
                <w:rFonts w:asciiTheme="minorHAnsi" w:hAnsiTheme="minorHAnsi" w:cstheme="minorHAnsi"/>
                <w:sz w:val="22"/>
                <w:szCs w:val="22"/>
              </w:rPr>
              <w:t>idel</w:t>
            </w:r>
            <w:proofErr w:type="spellEnd"/>
            <w:r w:rsidRPr="008E7A67">
              <w:rPr>
                <w:rFonts w:asciiTheme="minorHAnsi" w:hAnsiTheme="minorHAnsi" w:cstheme="minorHAnsi"/>
                <w:sz w:val="22"/>
                <w:szCs w:val="22"/>
              </w:rPr>
              <w:t xml:space="preserve"> seadusega ning seaduse alusel pandud keskkonnaülesannete täitmist</w:t>
            </w:r>
            <w:r w:rsidR="00E420EC">
              <w:rPr>
                <w:rFonts w:asciiTheme="minorHAnsi" w:hAnsiTheme="minorHAnsi" w:cstheme="minorHAnsi"/>
                <w:sz w:val="22"/>
                <w:szCs w:val="22"/>
              </w:rPr>
              <w:t>.</w:t>
            </w:r>
          </w:p>
        </w:tc>
        <w:tc>
          <w:tcPr>
            <w:tcW w:w="4520" w:type="dxa"/>
          </w:tcPr>
          <w:p w14:paraId="2C3700F9" w14:textId="0CF9A34F" w:rsidR="008E7A67" w:rsidRPr="008E7A67" w:rsidRDefault="000854BF" w:rsidP="008E7A67">
            <w:pPr>
              <w:spacing w:after="0" w:line="240" w:lineRule="auto"/>
              <w:jc w:val="both"/>
              <w:rPr>
                <w:rFonts w:asciiTheme="minorHAnsi" w:eastAsia="Times New Roman" w:hAnsiTheme="minorHAnsi" w:cstheme="minorHAnsi"/>
                <w:lang w:eastAsia="et-EE"/>
              </w:rPr>
            </w:pPr>
            <w:proofErr w:type="spellStart"/>
            <w:r w:rsidRPr="000854BF">
              <w:rPr>
                <w:rFonts w:asciiTheme="minorHAnsi" w:hAnsiTheme="minorHAnsi" w:cstheme="minorHAnsi"/>
              </w:rPr>
              <w:t>KOVidele</w:t>
            </w:r>
            <w:proofErr w:type="spellEnd"/>
            <w:r w:rsidRPr="000854BF">
              <w:rPr>
                <w:rFonts w:asciiTheme="minorHAnsi" w:hAnsiTheme="minorHAnsi" w:cstheme="minorHAnsi"/>
              </w:rPr>
              <w:t xml:space="preserve"> laekuva keskkonnatasu arvestamise alused tuleb vaadata üle sellest lähtuvalt, kas need katavad kõik</w:t>
            </w:r>
            <w:r w:rsidR="00935B58">
              <w:rPr>
                <w:rFonts w:asciiTheme="minorHAnsi" w:hAnsiTheme="minorHAnsi" w:cstheme="minorHAnsi"/>
              </w:rPr>
              <w:t>i</w:t>
            </w:r>
            <w:r w:rsidRPr="000854BF">
              <w:rPr>
                <w:rFonts w:asciiTheme="minorHAnsi" w:hAnsiTheme="minorHAnsi" w:cstheme="minorHAnsi"/>
              </w:rPr>
              <w:t xml:space="preserve"> mõjutatud </w:t>
            </w:r>
            <w:proofErr w:type="spellStart"/>
            <w:r w:rsidRPr="000854BF">
              <w:rPr>
                <w:rFonts w:asciiTheme="minorHAnsi" w:hAnsiTheme="minorHAnsi" w:cstheme="minorHAnsi"/>
              </w:rPr>
              <w:t>KOV</w:t>
            </w:r>
            <w:r w:rsidR="00935B58">
              <w:rPr>
                <w:rFonts w:asciiTheme="minorHAnsi" w:hAnsiTheme="minorHAnsi" w:cstheme="minorHAnsi"/>
              </w:rPr>
              <w:t>e</w:t>
            </w:r>
            <w:proofErr w:type="spellEnd"/>
            <w:r w:rsidRPr="000854BF">
              <w:rPr>
                <w:rFonts w:asciiTheme="minorHAnsi" w:hAnsiTheme="minorHAnsi" w:cstheme="minorHAnsi"/>
              </w:rPr>
              <w:t xml:space="preserve"> ja kas </w:t>
            </w:r>
            <w:proofErr w:type="spellStart"/>
            <w:r w:rsidRPr="000854BF">
              <w:rPr>
                <w:rFonts w:asciiTheme="minorHAnsi" w:hAnsiTheme="minorHAnsi" w:cstheme="minorHAnsi"/>
              </w:rPr>
              <w:t>KOVidele</w:t>
            </w:r>
            <w:proofErr w:type="spellEnd"/>
            <w:r w:rsidRPr="000854BF">
              <w:rPr>
                <w:rFonts w:asciiTheme="minorHAnsi" w:hAnsiTheme="minorHAnsi" w:cstheme="minorHAnsi"/>
              </w:rPr>
              <w:t xml:space="preserve"> tuleks suunata ka osa saastetasudest</w:t>
            </w:r>
            <w:r w:rsidR="001A657C">
              <w:rPr>
                <w:rFonts w:asciiTheme="minorHAnsi" w:hAnsiTheme="minorHAnsi" w:cstheme="minorHAnsi"/>
              </w:rPr>
              <w:t>.</w:t>
            </w:r>
            <w:r w:rsidRPr="000854BF">
              <w:rPr>
                <w:rFonts w:asciiTheme="minorHAnsi" w:hAnsiTheme="minorHAnsi" w:cstheme="minorHAnsi"/>
              </w:rPr>
              <w:t xml:space="preserve"> </w:t>
            </w:r>
            <w:r w:rsidR="008E7A67" w:rsidRPr="008E7A67">
              <w:rPr>
                <w:rFonts w:asciiTheme="minorHAnsi" w:hAnsiTheme="minorHAnsi" w:cstheme="minorHAnsi"/>
              </w:rPr>
              <w:t>KOVi piiriäärse tegevuse korral saab keskkonnatasu ainult KOV, kelle territooriumil tegevus toimub aga naaber KOV, kellele ulatuvad kõik välismõjud, ei saa midagi. Keskkonnatasu peaks piiripealse tegevuse korral saama naaber KOV</w:t>
            </w:r>
          </w:p>
        </w:tc>
      </w:tr>
      <w:tr w:rsidR="008E7A67" w:rsidRPr="008E7A67" w14:paraId="0E4BCC2F" w14:textId="77777777" w:rsidTr="00F408B4">
        <w:tc>
          <w:tcPr>
            <w:tcW w:w="4496" w:type="dxa"/>
          </w:tcPr>
          <w:p w14:paraId="3DD9B885" w14:textId="77777777" w:rsidR="008E7A67" w:rsidRPr="008E7A67" w:rsidRDefault="008E7A67" w:rsidP="008E7A67">
            <w:pPr>
              <w:pStyle w:val="Vahedeta"/>
              <w:jc w:val="both"/>
              <w:rPr>
                <w:rFonts w:cstheme="minorHAnsi"/>
                <w:b/>
                <w:color w:val="000000" w:themeColor="text1"/>
              </w:rPr>
            </w:pPr>
            <w:r w:rsidRPr="008E7A67">
              <w:rPr>
                <w:rFonts w:cstheme="minorHAnsi"/>
                <w:b/>
                <w:color w:val="000000" w:themeColor="text1"/>
              </w:rPr>
              <w:t>Ettepanek 5</w:t>
            </w:r>
          </w:p>
          <w:p w14:paraId="648890A5"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Jätkata läbirääkimisi selleks, et luua KOV ülesannete täitmiseks ja arenguks vajalike maade eraomanikelt omandamise kulude </w:t>
            </w:r>
            <w:proofErr w:type="spellStart"/>
            <w:r w:rsidRPr="008E7A67">
              <w:rPr>
                <w:rFonts w:asciiTheme="minorHAnsi" w:hAnsiTheme="minorHAnsi" w:cstheme="minorHAnsi"/>
                <w:spacing w:val="-4"/>
                <w:sz w:val="22"/>
                <w:szCs w:val="22"/>
              </w:rPr>
              <w:t>kompens</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atsioonimehhanismid</w:t>
            </w:r>
            <w:proofErr w:type="spellEnd"/>
            <w:r w:rsidRPr="008E7A67">
              <w:rPr>
                <w:rFonts w:asciiTheme="minorHAnsi" w:hAnsiTheme="minorHAnsi" w:cstheme="minorHAnsi"/>
                <w:spacing w:val="-4"/>
                <w:sz w:val="22"/>
                <w:szCs w:val="22"/>
              </w:rPr>
              <w:t>.</w:t>
            </w:r>
          </w:p>
          <w:p w14:paraId="6621EAF9"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Kaaluda riigivaraseaduse täiendamist sättega järgmises sõnastuses: „MRS § 31 lg 1 p 8 alusel riigi omandisse jäetud maa võõrandamisel laekunud tasust kantakse 35% kohaliku omavalitsuse üksusele planeerimisseaduse §-s 131 märgitud kohustuse täitmiseks.</w:t>
            </w:r>
          </w:p>
          <w:p w14:paraId="3E4034EA" w14:textId="77777777" w:rsidR="008E7A67" w:rsidRPr="008E7A67" w:rsidRDefault="008E7A67" w:rsidP="008E7A67">
            <w:pPr>
              <w:pStyle w:val="Vahedeta"/>
              <w:jc w:val="both"/>
              <w:rPr>
                <w:rFonts w:cstheme="minorHAnsi"/>
                <w:color w:val="0070C0"/>
              </w:rPr>
            </w:pPr>
          </w:p>
          <w:p w14:paraId="403AC269" w14:textId="77777777" w:rsidR="008E7A67" w:rsidRPr="008E7A67" w:rsidRDefault="008E7A67" w:rsidP="008E7A67">
            <w:pPr>
              <w:spacing w:after="0" w:line="240" w:lineRule="auto"/>
              <w:jc w:val="both"/>
              <w:rPr>
                <w:rFonts w:asciiTheme="minorHAnsi" w:eastAsia="Times New Roman" w:hAnsiTheme="minorHAnsi" w:cstheme="minorHAnsi"/>
                <w:b/>
                <w:lang w:eastAsia="et-EE"/>
              </w:rPr>
            </w:pPr>
          </w:p>
        </w:tc>
        <w:tc>
          <w:tcPr>
            <w:tcW w:w="4520" w:type="dxa"/>
          </w:tcPr>
          <w:p w14:paraId="294101F9" w14:textId="557D32D2"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Ettepanekus märgitud kompensatsioonimehhanism on vajalik omavalitusüksuse ülesannete täitmiseks. Eelkõige planeerimisseaduse § 131 kohaselt on sätestatud KOV kohustus tagada detailplaneeringukohased avalikuks kasutamiseks ette nähtud tee ja sellega seonduvate rajatiste, haljastuse, välisvalgustuse ning muude tehnorajatiste rajamine. Maareformi käigus riigi omandisse jäetavad maatükid paisatakse tsiviilkäibesse arvestamata KOV kohustusi seonduvalt avalikuks kasutuseks määratud maa tagamisega. Reformi läbiviimisel riigi poolt arvestamata jäetud KOV arenguvajadused on loonud olukorra, kus </w:t>
            </w:r>
            <w:proofErr w:type="spellStart"/>
            <w:r w:rsidRPr="008E7A67">
              <w:rPr>
                <w:rFonts w:asciiTheme="minorHAnsi" w:hAnsiTheme="minorHAnsi" w:cstheme="minorHAnsi"/>
                <w:spacing w:val="-4"/>
                <w:sz w:val="22"/>
                <w:szCs w:val="22"/>
              </w:rPr>
              <w:t>KOV</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il</w:t>
            </w:r>
            <w:proofErr w:type="spellEnd"/>
            <w:r w:rsidRPr="008E7A67">
              <w:rPr>
                <w:rFonts w:asciiTheme="minorHAnsi" w:hAnsiTheme="minorHAnsi" w:cstheme="minorHAnsi"/>
                <w:spacing w:val="-4"/>
                <w:sz w:val="22"/>
                <w:szCs w:val="22"/>
              </w:rPr>
              <w:t xml:space="preserve"> on vajalik omandada avalikuks kasutamiseks maad eraomanikelt. Mõistlik </w:t>
            </w:r>
            <w:proofErr w:type="spellStart"/>
            <w:r w:rsidRPr="008E7A67">
              <w:rPr>
                <w:rFonts w:asciiTheme="minorHAnsi" w:hAnsiTheme="minorHAnsi" w:cstheme="minorHAnsi"/>
                <w:spacing w:val="-4"/>
                <w:sz w:val="22"/>
                <w:szCs w:val="22"/>
              </w:rPr>
              <w:t>kompenseerimismehha</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nism</w:t>
            </w:r>
            <w:proofErr w:type="spellEnd"/>
            <w:r w:rsidRPr="008E7A67">
              <w:rPr>
                <w:rFonts w:asciiTheme="minorHAnsi" w:hAnsiTheme="minorHAnsi" w:cstheme="minorHAnsi"/>
                <w:spacing w:val="-4"/>
                <w:sz w:val="22"/>
                <w:szCs w:val="22"/>
              </w:rPr>
              <w:t xml:space="preserve"> on riigi poolt tulu saamise eesmärgil võõrandatavalt maalt laekunud rahast osa eraldada </w:t>
            </w:r>
            <w:proofErr w:type="spellStart"/>
            <w:r w:rsidRPr="008E7A67">
              <w:rPr>
                <w:rFonts w:asciiTheme="minorHAnsi" w:hAnsiTheme="minorHAnsi" w:cstheme="minorHAnsi"/>
                <w:spacing w:val="-4"/>
                <w:sz w:val="22"/>
                <w:szCs w:val="22"/>
              </w:rPr>
              <w:t>KOV</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idele</w:t>
            </w:r>
            <w:proofErr w:type="spellEnd"/>
            <w:r w:rsidRPr="008E7A67">
              <w:rPr>
                <w:rFonts w:asciiTheme="minorHAnsi" w:hAnsiTheme="minorHAnsi" w:cstheme="minorHAnsi"/>
                <w:spacing w:val="-4"/>
                <w:sz w:val="22"/>
                <w:szCs w:val="22"/>
              </w:rPr>
              <w:t>.</w:t>
            </w:r>
          </w:p>
          <w:p w14:paraId="3DF58067" w14:textId="77777777" w:rsidR="008E7A67" w:rsidRPr="008E7A67" w:rsidRDefault="008E7A67" w:rsidP="008E7A67">
            <w:pPr>
              <w:pStyle w:val="Standard"/>
              <w:spacing w:after="0" w:line="240" w:lineRule="auto"/>
              <w:jc w:val="both"/>
              <w:rPr>
                <w:rFonts w:asciiTheme="minorHAnsi" w:eastAsia="Times New Roman" w:hAnsiTheme="minorHAnsi" w:cstheme="minorHAnsi"/>
                <w:sz w:val="22"/>
                <w:szCs w:val="22"/>
                <w:lang w:eastAsia="et-EE"/>
              </w:rPr>
            </w:pPr>
            <w:r w:rsidRPr="008E7A67">
              <w:rPr>
                <w:rFonts w:asciiTheme="minorHAnsi" w:hAnsiTheme="minorHAnsi" w:cstheme="minorHAnsi"/>
                <w:spacing w:val="-4"/>
                <w:sz w:val="22"/>
                <w:szCs w:val="22"/>
              </w:rPr>
              <w:t xml:space="preserve">KAHOS jõustumine ei ole lahendanud KOV ülesannete täitmiseks ja arenguks vajalike maade eraomanikelt omandamise kulude </w:t>
            </w:r>
            <w:proofErr w:type="spellStart"/>
            <w:r w:rsidRPr="008E7A67">
              <w:rPr>
                <w:rFonts w:asciiTheme="minorHAnsi" w:hAnsiTheme="minorHAnsi" w:cstheme="minorHAnsi"/>
                <w:spacing w:val="-4"/>
                <w:sz w:val="22"/>
                <w:szCs w:val="22"/>
              </w:rPr>
              <w:t>kompensee</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rimist</w:t>
            </w:r>
            <w:proofErr w:type="spellEnd"/>
            <w:r w:rsidRPr="008E7A67">
              <w:rPr>
                <w:rFonts w:asciiTheme="minorHAnsi" w:hAnsiTheme="minorHAnsi" w:cstheme="minorHAnsi"/>
                <w:spacing w:val="-4"/>
                <w:sz w:val="22"/>
                <w:szCs w:val="22"/>
              </w:rPr>
              <w:t>.</w:t>
            </w:r>
          </w:p>
        </w:tc>
      </w:tr>
      <w:tr w:rsidR="008E7A67" w:rsidRPr="008E7A67" w14:paraId="0BA665D3" w14:textId="77777777" w:rsidTr="00F408B4">
        <w:tc>
          <w:tcPr>
            <w:tcW w:w="4496" w:type="dxa"/>
          </w:tcPr>
          <w:p w14:paraId="0CE4D59C" w14:textId="77777777" w:rsidR="008E7A67" w:rsidRPr="008E7A67" w:rsidRDefault="008E7A67" w:rsidP="008E7A67">
            <w:pPr>
              <w:pStyle w:val="Vahedeta"/>
              <w:jc w:val="both"/>
              <w:rPr>
                <w:rFonts w:cstheme="minorHAnsi"/>
                <w:b/>
                <w:color w:val="000000" w:themeColor="text1"/>
              </w:rPr>
            </w:pPr>
            <w:r w:rsidRPr="008E7A67">
              <w:rPr>
                <w:rFonts w:cstheme="minorHAnsi"/>
                <w:b/>
                <w:color w:val="000000" w:themeColor="text1"/>
              </w:rPr>
              <w:t>Ettepanek 6</w:t>
            </w:r>
          </w:p>
          <w:p w14:paraId="41E36D6E"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Võõrandada </w:t>
            </w:r>
            <w:proofErr w:type="spellStart"/>
            <w:r w:rsidRPr="008E7A67">
              <w:rPr>
                <w:rFonts w:asciiTheme="minorHAnsi" w:hAnsiTheme="minorHAnsi" w:cstheme="minorHAnsi"/>
                <w:spacing w:val="-4"/>
                <w:sz w:val="22"/>
                <w:szCs w:val="22"/>
              </w:rPr>
              <w:t>KOVidele</w:t>
            </w:r>
            <w:proofErr w:type="spellEnd"/>
            <w:r w:rsidRPr="008E7A67">
              <w:rPr>
                <w:rFonts w:asciiTheme="minorHAnsi" w:hAnsiTheme="minorHAnsi" w:cstheme="minorHAnsi"/>
                <w:spacing w:val="-4"/>
                <w:sz w:val="22"/>
                <w:szCs w:val="22"/>
              </w:rPr>
              <w:t xml:space="preserve"> riigi maareservist tasuta maad, mis </w:t>
            </w:r>
            <w:proofErr w:type="spellStart"/>
            <w:r w:rsidRPr="008E7A67">
              <w:rPr>
                <w:rFonts w:asciiTheme="minorHAnsi" w:hAnsiTheme="minorHAnsi" w:cstheme="minorHAnsi"/>
                <w:spacing w:val="-4"/>
                <w:sz w:val="22"/>
                <w:szCs w:val="22"/>
              </w:rPr>
              <w:t>KOVide</w:t>
            </w:r>
            <w:proofErr w:type="spellEnd"/>
            <w:r w:rsidRPr="008E7A67">
              <w:rPr>
                <w:rFonts w:asciiTheme="minorHAnsi" w:hAnsiTheme="minorHAnsi" w:cstheme="minorHAnsi"/>
                <w:spacing w:val="-4"/>
                <w:sz w:val="22"/>
                <w:szCs w:val="22"/>
              </w:rPr>
              <w:t xml:space="preserve"> taotluste kohaselt on vajalikud arenguks, sh ettevõtluse ning tootmise ja liikluskeskkonna arendamiseks</w:t>
            </w:r>
            <w:r w:rsidRPr="008E7A67">
              <w:rPr>
                <w:rFonts w:asciiTheme="minorHAnsi" w:hAnsiTheme="minorHAnsi" w:cstheme="minorHAnsi"/>
                <w:spacing w:val="-4"/>
                <w:sz w:val="22"/>
                <w:szCs w:val="22"/>
              </w:rPr>
              <w:tab/>
            </w:r>
          </w:p>
          <w:p w14:paraId="4CE9F1CC" w14:textId="77777777" w:rsidR="008E7A67" w:rsidRPr="008E7A67" w:rsidRDefault="008E7A67" w:rsidP="008E7A67">
            <w:pPr>
              <w:spacing w:after="0" w:line="240" w:lineRule="auto"/>
              <w:jc w:val="both"/>
              <w:rPr>
                <w:rFonts w:asciiTheme="minorHAnsi" w:eastAsia="Times New Roman" w:hAnsiTheme="minorHAnsi" w:cstheme="minorHAnsi"/>
                <w:b/>
                <w:lang w:eastAsia="et-EE"/>
              </w:rPr>
            </w:pPr>
          </w:p>
        </w:tc>
        <w:tc>
          <w:tcPr>
            <w:tcW w:w="4520" w:type="dxa"/>
          </w:tcPr>
          <w:p w14:paraId="45EDFAF9"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Riigi ja </w:t>
            </w:r>
            <w:proofErr w:type="spellStart"/>
            <w:r w:rsidRPr="008E7A67">
              <w:rPr>
                <w:rFonts w:asciiTheme="minorHAnsi" w:hAnsiTheme="minorHAnsi" w:cstheme="minorHAnsi"/>
                <w:spacing w:val="-4"/>
                <w:sz w:val="22"/>
                <w:szCs w:val="22"/>
              </w:rPr>
              <w:t>KOVide</w:t>
            </w:r>
            <w:proofErr w:type="spellEnd"/>
            <w:r w:rsidRPr="008E7A67">
              <w:rPr>
                <w:rFonts w:asciiTheme="minorHAnsi" w:hAnsiTheme="minorHAnsi" w:cstheme="minorHAnsi"/>
                <w:spacing w:val="-4"/>
                <w:sz w:val="22"/>
                <w:szCs w:val="22"/>
              </w:rPr>
              <w:t xml:space="preserve"> arendamiseks tuleb luua ka soodsat ruumilist ettevõtlus-, tootmis- ja liikluskeskkonda, sealhulgas soodustada tööstusparkide ja KOV siseste liiklussõlmede rajamist. See eeldab selleks sobivate maaüksuste olemasolu ja kui </w:t>
            </w:r>
            <w:proofErr w:type="spellStart"/>
            <w:r w:rsidRPr="008E7A67">
              <w:rPr>
                <w:rFonts w:asciiTheme="minorHAnsi" w:hAnsiTheme="minorHAnsi" w:cstheme="minorHAnsi"/>
                <w:spacing w:val="-4"/>
                <w:sz w:val="22"/>
                <w:szCs w:val="22"/>
              </w:rPr>
              <w:t>KOV</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il</w:t>
            </w:r>
            <w:proofErr w:type="spellEnd"/>
            <w:r w:rsidRPr="008E7A67">
              <w:rPr>
                <w:rFonts w:asciiTheme="minorHAnsi" w:hAnsiTheme="minorHAnsi" w:cstheme="minorHAnsi"/>
                <w:spacing w:val="-4"/>
                <w:sz w:val="22"/>
                <w:szCs w:val="22"/>
              </w:rPr>
              <w:t xml:space="preserve"> neid maaüksusi ei ole, siis taotlemist riigi maareservist. </w:t>
            </w:r>
            <w:proofErr w:type="spellStart"/>
            <w:r w:rsidRPr="008E7A67">
              <w:rPr>
                <w:rFonts w:asciiTheme="minorHAnsi" w:hAnsiTheme="minorHAnsi" w:cstheme="minorHAnsi"/>
                <w:spacing w:val="-4"/>
                <w:sz w:val="22"/>
                <w:szCs w:val="22"/>
              </w:rPr>
              <w:t>KOVide</w:t>
            </w:r>
            <w:proofErr w:type="spellEnd"/>
            <w:r w:rsidRPr="008E7A67">
              <w:rPr>
                <w:rFonts w:asciiTheme="minorHAnsi" w:hAnsiTheme="minorHAnsi" w:cstheme="minorHAnsi"/>
                <w:spacing w:val="-4"/>
                <w:sz w:val="22"/>
                <w:szCs w:val="22"/>
              </w:rPr>
              <w:t xml:space="preserve"> seisukohast on oluline, et käsitletud teemad võetakse arutusele ja riigi pädevad asutused esitaksid oma põhjendatud seisukohad ning pakuksid vajadusel toimivad lahendused probleemile. </w:t>
            </w:r>
            <w:proofErr w:type="spellStart"/>
            <w:r w:rsidRPr="008E7A67">
              <w:rPr>
                <w:rFonts w:asciiTheme="minorHAnsi" w:hAnsiTheme="minorHAnsi" w:cstheme="minorHAnsi"/>
                <w:spacing w:val="-4"/>
                <w:sz w:val="22"/>
                <w:szCs w:val="22"/>
              </w:rPr>
              <w:t>KOV</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id</w:t>
            </w:r>
            <w:proofErr w:type="spellEnd"/>
            <w:r w:rsidRPr="008E7A67">
              <w:rPr>
                <w:rFonts w:asciiTheme="minorHAnsi" w:hAnsiTheme="minorHAnsi" w:cstheme="minorHAnsi"/>
                <w:spacing w:val="-4"/>
                <w:sz w:val="22"/>
                <w:szCs w:val="22"/>
              </w:rPr>
              <w:t xml:space="preserve"> (nt Tallinn, Tartu, Kuressaare jt) on valmis arutelu käigus esitama täiendavaid selgitusi ja lahendamise ettepanekuid.</w:t>
            </w:r>
          </w:p>
          <w:p w14:paraId="55C1F075" w14:textId="5DA544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Siiani ei ole vastu võetud õigusakti, mis võimaldaks </w:t>
            </w:r>
            <w:proofErr w:type="spellStart"/>
            <w:r w:rsidRPr="008E7A67">
              <w:rPr>
                <w:rFonts w:asciiTheme="minorHAnsi" w:hAnsiTheme="minorHAnsi" w:cstheme="minorHAnsi"/>
                <w:spacing w:val="-4"/>
                <w:sz w:val="22"/>
                <w:szCs w:val="22"/>
              </w:rPr>
              <w:t>KOV</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del</w:t>
            </w:r>
            <w:proofErr w:type="spellEnd"/>
            <w:r w:rsidRPr="008E7A67">
              <w:rPr>
                <w:rFonts w:asciiTheme="minorHAnsi" w:hAnsiTheme="minorHAnsi" w:cstheme="minorHAnsi"/>
                <w:spacing w:val="-4"/>
                <w:sz w:val="22"/>
                <w:szCs w:val="22"/>
              </w:rPr>
              <w:t xml:space="preserve"> võõrandada tasuta maad ettevõtluse ning tootmise ja liikluskeskkonna arendamiseks. </w:t>
            </w:r>
            <w:r w:rsidRPr="008E7A67">
              <w:rPr>
                <w:rFonts w:asciiTheme="minorHAnsi" w:hAnsiTheme="minorHAnsi" w:cstheme="minorHAnsi"/>
                <w:spacing w:val="-4"/>
                <w:sz w:val="22"/>
                <w:szCs w:val="22"/>
              </w:rPr>
              <w:lastRenderedPageBreak/>
              <w:t>Puudub § 74</w:t>
            </w:r>
            <w:r w:rsidR="00D656B6">
              <w:rPr>
                <w:rFonts w:asciiTheme="minorHAnsi" w:hAnsiTheme="minorHAnsi" w:cstheme="minorHAnsi"/>
                <w:spacing w:val="-4"/>
                <w:sz w:val="22"/>
                <w:szCs w:val="22"/>
              </w:rPr>
              <w:t>-</w:t>
            </w:r>
            <w:r w:rsidRPr="008E7A67">
              <w:rPr>
                <w:rFonts w:asciiTheme="minorHAnsi" w:hAnsiTheme="minorHAnsi" w:cstheme="minorHAnsi"/>
                <w:spacing w:val="-4"/>
                <w:sz w:val="22"/>
                <w:szCs w:val="22"/>
              </w:rPr>
              <w:t>1 lg (3) kohane Vabariigi Valitsuse määrus, mille alusel toiminguid teha.</w:t>
            </w:r>
          </w:p>
          <w:p w14:paraId="0C3295B8" w14:textId="77777777" w:rsidR="008E7A67" w:rsidRPr="008E7A67" w:rsidRDefault="008E7A67" w:rsidP="008E7A67">
            <w:pPr>
              <w:pStyle w:val="Standard"/>
              <w:spacing w:after="0" w:line="240" w:lineRule="auto"/>
              <w:jc w:val="both"/>
              <w:rPr>
                <w:rFonts w:asciiTheme="minorHAnsi" w:eastAsia="Times New Roman" w:hAnsiTheme="minorHAnsi" w:cstheme="minorHAnsi"/>
                <w:sz w:val="22"/>
                <w:szCs w:val="22"/>
                <w:lang w:eastAsia="et-EE"/>
              </w:rPr>
            </w:pPr>
            <w:r w:rsidRPr="008E7A67">
              <w:rPr>
                <w:rFonts w:asciiTheme="minorHAnsi" w:hAnsiTheme="minorHAnsi" w:cstheme="minorHAnsi"/>
                <w:spacing w:val="-4"/>
                <w:sz w:val="22"/>
                <w:szCs w:val="22"/>
              </w:rPr>
              <w:t>Muudel juhtudel riigivara tasuta võõrandamiseks pole määrust vaja. Jätaks selle siis ettevõtluskeskkonna puhul ka ära, sest selline bürokraatia ei soodusta kuidagi ettevõtluse arengut. Ettevõtluse valdkonnas tuleb, just vastupidi, teha otsuseid kiirendatud menetlusega, sest ettevõtjal pole aega oodata aastaid</w:t>
            </w:r>
            <w:r w:rsidRPr="008E7A67">
              <w:rPr>
                <w:rFonts w:asciiTheme="minorHAnsi" w:hAnsiTheme="minorHAnsi" w:cstheme="minorHAnsi"/>
                <w:spacing w:val="-4"/>
                <w:sz w:val="22"/>
                <w:szCs w:val="22"/>
              </w:rPr>
              <w:tab/>
            </w:r>
          </w:p>
        </w:tc>
      </w:tr>
      <w:tr w:rsidR="008E7A67" w:rsidRPr="008E7A67" w14:paraId="1B1EFB0A" w14:textId="77777777" w:rsidTr="00F408B4">
        <w:tc>
          <w:tcPr>
            <w:tcW w:w="4496" w:type="dxa"/>
          </w:tcPr>
          <w:p w14:paraId="099D090D" w14:textId="77777777" w:rsidR="008E7A67" w:rsidRPr="008E7A67" w:rsidRDefault="008E7A67" w:rsidP="008E7A67">
            <w:pPr>
              <w:pStyle w:val="Vahedeta"/>
              <w:jc w:val="both"/>
              <w:rPr>
                <w:rFonts w:cstheme="minorHAnsi"/>
                <w:b/>
                <w:color w:val="000000" w:themeColor="text1"/>
              </w:rPr>
            </w:pPr>
            <w:r w:rsidRPr="008E7A67">
              <w:rPr>
                <w:rFonts w:cstheme="minorHAnsi"/>
                <w:b/>
                <w:color w:val="000000" w:themeColor="text1"/>
              </w:rPr>
              <w:lastRenderedPageBreak/>
              <w:t>Ettepanek 7</w:t>
            </w:r>
          </w:p>
          <w:p w14:paraId="6870F071" w14:textId="3E60EC1F"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Arvestada CO2 kvootide müügitehingutest laekuvate vahendite suunamisel võimalustega </w:t>
            </w:r>
            <w:r w:rsidR="008F6A5C">
              <w:rPr>
                <w:rFonts w:asciiTheme="minorHAnsi" w:hAnsiTheme="minorHAnsi" w:cstheme="minorHAnsi"/>
                <w:spacing w:val="-4"/>
                <w:sz w:val="22"/>
                <w:szCs w:val="22"/>
              </w:rPr>
              <w:t>omavalitsus taristu</w:t>
            </w:r>
            <w:r w:rsidRPr="008E7A67">
              <w:rPr>
                <w:rFonts w:asciiTheme="minorHAnsi" w:hAnsiTheme="minorHAnsi" w:cstheme="minorHAnsi"/>
                <w:spacing w:val="-4"/>
                <w:sz w:val="22"/>
                <w:szCs w:val="22"/>
              </w:rPr>
              <w:t xml:space="preserve"> heakorra tagamiseks</w:t>
            </w:r>
          </w:p>
          <w:p w14:paraId="4FC50C25" w14:textId="77777777" w:rsidR="008E7A67" w:rsidRPr="008E7A67" w:rsidRDefault="008E7A67" w:rsidP="008E7A67">
            <w:pPr>
              <w:spacing w:after="0" w:line="240" w:lineRule="auto"/>
              <w:jc w:val="both"/>
              <w:rPr>
                <w:rFonts w:asciiTheme="minorHAnsi" w:eastAsia="Times New Roman" w:hAnsiTheme="minorHAnsi" w:cstheme="minorHAnsi"/>
                <w:b/>
                <w:lang w:eastAsia="et-EE"/>
              </w:rPr>
            </w:pPr>
          </w:p>
        </w:tc>
        <w:tc>
          <w:tcPr>
            <w:tcW w:w="4520" w:type="dxa"/>
          </w:tcPr>
          <w:p w14:paraId="556FD343"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Ettepanek on kaaluda võimalusi tulevaste perioodide CO2 kvootide müügitehingutest laekuvaid vahendeid:</w:t>
            </w:r>
          </w:p>
          <w:p w14:paraId="3E0899CA" w14:textId="1CF34844"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suunata </w:t>
            </w:r>
            <w:r w:rsidR="00F338A4">
              <w:rPr>
                <w:rFonts w:asciiTheme="minorHAnsi" w:hAnsiTheme="minorHAnsi" w:cstheme="minorHAnsi"/>
                <w:spacing w:val="-4"/>
                <w:sz w:val="22"/>
                <w:szCs w:val="22"/>
              </w:rPr>
              <w:t>KOV</w:t>
            </w:r>
            <w:r w:rsidRPr="008E7A67">
              <w:rPr>
                <w:rFonts w:asciiTheme="minorHAnsi" w:hAnsiTheme="minorHAnsi" w:cstheme="minorHAnsi"/>
                <w:spacing w:val="-4"/>
                <w:sz w:val="22"/>
                <w:szCs w:val="22"/>
              </w:rPr>
              <w:t xml:space="preserve"> välisvalgustuse alaste kokkuhoiumeetmete rakendamiseks, sealhulgas amortiseerunud valgustite koos kande- ja liinielementide uuendamisega, </w:t>
            </w:r>
            <w:proofErr w:type="spellStart"/>
            <w:r w:rsidRPr="008E7A67">
              <w:rPr>
                <w:rFonts w:asciiTheme="minorHAnsi" w:hAnsiTheme="minorHAnsi" w:cstheme="minorHAnsi"/>
                <w:spacing w:val="-4"/>
                <w:sz w:val="22"/>
                <w:szCs w:val="22"/>
              </w:rPr>
              <w:t>mitmeastmelist</w:t>
            </w:r>
            <w:proofErr w:type="spellEnd"/>
            <w:r w:rsidRPr="008E7A67">
              <w:rPr>
                <w:rFonts w:asciiTheme="minorHAnsi" w:hAnsiTheme="minorHAnsi" w:cstheme="minorHAnsi"/>
                <w:spacing w:val="-4"/>
                <w:sz w:val="22"/>
                <w:szCs w:val="22"/>
              </w:rPr>
              <w:t xml:space="preserve"> juhtimist võimaldavate juhtimissüsteemide ja selleks sobivate valgustussüsteemide soetamiseks;</w:t>
            </w:r>
          </w:p>
          <w:p w14:paraId="6B00BC29"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rakendada linnades jalgrataste </w:t>
            </w:r>
            <w:proofErr w:type="spellStart"/>
            <w:r w:rsidRPr="008E7A67">
              <w:rPr>
                <w:rFonts w:asciiTheme="minorHAnsi" w:hAnsiTheme="minorHAnsi" w:cstheme="minorHAnsi"/>
                <w:spacing w:val="-4"/>
                <w:sz w:val="22"/>
                <w:szCs w:val="22"/>
              </w:rPr>
              <w:t>laenutussüs</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teemide</w:t>
            </w:r>
            <w:proofErr w:type="spellEnd"/>
            <w:r w:rsidRPr="008E7A67">
              <w:rPr>
                <w:rFonts w:asciiTheme="minorHAnsi" w:hAnsiTheme="minorHAnsi" w:cstheme="minorHAnsi"/>
                <w:spacing w:val="-4"/>
                <w:sz w:val="22"/>
                <w:szCs w:val="22"/>
              </w:rPr>
              <w:t xml:space="preserve"> loomiseks, integreerimaks rongiliine, maaliine ja linnasisest ühistransporti.</w:t>
            </w:r>
          </w:p>
          <w:p w14:paraId="163F72AC" w14:textId="77777777" w:rsidR="008E7A67" w:rsidRPr="008E7A67" w:rsidRDefault="008E7A67" w:rsidP="008E7A67">
            <w:pPr>
              <w:spacing w:after="0" w:line="240" w:lineRule="auto"/>
              <w:jc w:val="both"/>
              <w:rPr>
                <w:rFonts w:asciiTheme="minorHAnsi" w:eastAsia="Times New Roman" w:hAnsiTheme="minorHAnsi" w:cstheme="minorHAnsi"/>
                <w:lang w:eastAsia="et-EE"/>
              </w:rPr>
            </w:pPr>
          </w:p>
        </w:tc>
      </w:tr>
      <w:tr w:rsidR="008E7A67" w:rsidRPr="008E7A67" w14:paraId="4BADD6E7" w14:textId="77777777" w:rsidTr="00F408B4">
        <w:tc>
          <w:tcPr>
            <w:tcW w:w="4496" w:type="dxa"/>
          </w:tcPr>
          <w:p w14:paraId="0E917E36" w14:textId="77777777" w:rsidR="008E7A67" w:rsidRPr="008E7A67" w:rsidRDefault="008E7A67" w:rsidP="008E7A67">
            <w:pPr>
              <w:pStyle w:val="Vahedeta"/>
              <w:jc w:val="both"/>
              <w:rPr>
                <w:rFonts w:cstheme="minorHAnsi"/>
                <w:b/>
                <w:color w:val="000000" w:themeColor="text1"/>
              </w:rPr>
            </w:pPr>
            <w:r w:rsidRPr="008E7A67">
              <w:rPr>
                <w:rFonts w:cstheme="minorHAnsi"/>
                <w:b/>
                <w:color w:val="000000" w:themeColor="text1"/>
              </w:rPr>
              <w:t>Ettepanek 8</w:t>
            </w:r>
          </w:p>
          <w:p w14:paraId="7EA38D58"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Tunnistada kehtetuks </w:t>
            </w:r>
            <w:proofErr w:type="spellStart"/>
            <w:r w:rsidRPr="008E7A67">
              <w:rPr>
                <w:rFonts w:asciiTheme="minorHAnsi" w:hAnsiTheme="minorHAnsi" w:cstheme="minorHAnsi"/>
                <w:spacing w:val="-4"/>
                <w:sz w:val="22"/>
                <w:szCs w:val="22"/>
              </w:rPr>
              <w:t>MaaRS</w:t>
            </w:r>
            <w:proofErr w:type="spellEnd"/>
            <w:r w:rsidRPr="008E7A67">
              <w:rPr>
                <w:rFonts w:asciiTheme="minorHAnsi" w:hAnsiTheme="minorHAnsi" w:cstheme="minorHAnsi"/>
                <w:spacing w:val="-4"/>
                <w:sz w:val="22"/>
                <w:szCs w:val="22"/>
              </w:rPr>
              <w:t xml:space="preserve"> § 25 lõige 4 või vähendada KOV kohustust tasuda </w:t>
            </w:r>
            <w:proofErr w:type="spellStart"/>
            <w:r w:rsidRPr="008E7A67">
              <w:rPr>
                <w:rFonts w:asciiTheme="minorHAnsi" w:hAnsiTheme="minorHAnsi" w:cstheme="minorHAnsi"/>
                <w:spacing w:val="-4"/>
                <w:sz w:val="22"/>
                <w:szCs w:val="22"/>
              </w:rPr>
              <w:t>munitsi</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paalomandisse</w:t>
            </w:r>
            <w:proofErr w:type="spellEnd"/>
            <w:r w:rsidRPr="008E7A67">
              <w:rPr>
                <w:rFonts w:asciiTheme="minorHAnsi" w:hAnsiTheme="minorHAnsi" w:cstheme="minorHAnsi"/>
                <w:spacing w:val="-4"/>
                <w:sz w:val="22"/>
                <w:szCs w:val="22"/>
              </w:rPr>
              <w:t xml:space="preserve"> antud maa võõrandamisel riigieelarvesse 65% maa turuväärtusest.</w:t>
            </w:r>
          </w:p>
          <w:p w14:paraId="63725DDB" w14:textId="3FEA465A" w:rsidR="008E7A67" w:rsidRPr="008E7A67" w:rsidRDefault="006E3904" w:rsidP="008E7A67">
            <w:pPr>
              <w:pStyle w:val="Standard"/>
              <w:spacing w:after="0" w:line="240" w:lineRule="auto"/>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Alternatiivina </w:t>
            </w:r>
            <w:r w:rsidR="00957729">
              <w:rPr>
                <w:rFonts w:asciiTheme="minorHAnsi" w:hAnsiTheme="minorHAnsi" w:cstheme="minorHAnsi"/>
                <w:spacing w:val="-4"/>
                <w:sz w:val="22"/>
                <w:szCs w:val="22"/>
              </w:rPr>
              <w:t xml:space="preserve">muuta </w:t>
            </w:r>
            <w:proofErr w:type="spellStart"/>
            <w:r w:rsidR="008E7A67" w:rsidRPr="008E7A67">
              <w:rPr>
                <w:rFonts w:asciiTheme="minorHAnsi" w:hAnsiTheme="minorHAnsi" w:cstheme="minorHAnsi"/>
                <w:spacing w:val="-4"/>
                <w:sz w:val="22"/>
                <w:szCs w:val="22"/>
              </w:rPr>
              <w:t>MaaRS</w:t>
            </w:r>
            <w:proofErr w:type="spellEnd"/>
            <w:r w:rsidR="008E7A67" w:rsidRPr="008E7A67">
              <w:rPr>
                <w:rFonts w:asciiTheme="minorHAnsi" w:hAnsiTheme="minorHAnsi" w:cstheme="minorHAnsi"/>
                <w:spacing w:val="-4"/>
                <w:sz w:val="22"/>
                <w:szCs w:val="22"/>
              </w:rPr>
              <w:t xml:space="preserve"> § 25 lõiget 4 ja sõnastada see järgmiselt:</w:t>
            </w:r>
          </w:p>
          <w:p w14:paraId="3587822F" w14:textId="77777777" w:rsidR="008E7A67" w:rsidRPr="008E7A67" w:rsidRDefault="008E7A67" w:rsidP="008E7A67">
            <w:pPr>
              <w:pStyle w:val="Standard"/>
              <w:spacing w:after="0" w:line="240" w:lineRule="auto"/>
              <w:jc w:val="both"/>
              <w:rPr>
                <w:rFonts w:asciiTheme="minorHAnsi" w:eastAsia="Times New Roman" w:hAnsiTheme="minorHAnsi" w:cstheme="minorHAnsi"/>
                <w:b/>
                <w:sz w:val="22"/>
                <w:szCs w:val="22"/>
                <w:lang w:eastAsia="et-EE"/>
              </w:rPr>
            </w:pPr>
            <w:r w:rsidRPr="008E7A67">
              <w:rPr>
                <w:rFonts w:asciiTheme="minorHAnsi" w:hAnsiTheme="minorHAnsi" w:cstheme="minorHAnsi"/>
                <w:spacing w:val="-4"/>
                <w:sz w:val="22"/>
                <w:szCs w:val="22"/>
              </w:rPr>
              <w:t>„(4) Munitsipaalomandisse antud maa, välja arvatud käesoleva seaduse § 28 lõike 1 punktides 1, 9 ja 11 nimetatud maa, võõrandamise korral tekib 10 aasta jooksul pärast maa munitsipaalomandisse andmist kohalikul omavalitsusel kohustus maksta riigile hüvitist, välja arvatud juhul, kui maa võõrandatakse tasuta riigile. Hüvitise suurus on 65 protsenti laekuvast rahast, maa tasuta või alla hariliku väärtuse võõrandamisel maa harilikust väärtusest võõrandamise ajal. Maa võõrandamise korral võib laekuvast rahast või maa harilikust väärtusest maha arvata maa parendamiseks, sealhulgas detailplaneeringu koostamiseks, kohaliku omavalitsuse üksuse tehtud põhjendatud kulud. Hüvitis tuleb riigi tuludesse kanda kinnisasja võõrandamise korral viie aasta jooksul tehingu päevast arvates.“</w:t>
            </w:r>
          </w:p>
        </w:tc>
        <w:tc>
          <w:tcPr>
            <w:tcW w:w="4520" w:type="dxa"/>
          </w:tcPr>
          <w:p w14:paraId="2A9A26EF"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Kohaliku omavalitsuse kohustus tasuda munitsipaalomandisse antud maa võõrandamise, kasutusvaldusse andmise või hoonestusõigusega koormamise korral riigile hüvitist 65% maa harilikust väärtusest, on ebaõiglaselt koormav ega arvesta ettevõtluse arengu tagamise vajadusega.</w:t>
            </w:r>
          </w:p>
          <w:p w14:paraId="76D45AD7" w14:textId="77777777" w:rsidR="008E7A67" w:rsidRPr="008E7A67" w:rsidRDefault="008E7A67" w:rsidP="008E7A67">
            <w:pPr>
              <w:spacing w:after="0" w:line="240" w:lineRule="auto"/>
              <w:jc w:val="both"/>
              <w:rPr>
                <w:rFonts w:asciiTheme="minorHAnsi" w:eastAsia="Times New Roman" w:hAnsiTheme="minorHAnsi" w:cstheme="minorHAnsi"/>
                <w:lang w:eastAsia="et-EE"/>
              </w:rPr>
            </w:pPr>
            <w:proofErr w:type="spellStart"/>
            <w:r w:rsidRPr="008E7A67">
              <w:rPr>
                <w:rFonts w:asciiTheme="minorHAnsi" w:hAnsiTheme="minorHAnsi" w:cstheme="minorHAnsi"/>
                <w:spacing w:val="-4"/>
              </w:rPr>
              <w:t>KOVide</w:t>
            </w:r>
            <w:proofErr w:type="spellEnd"/>
            <w:r w:rsidRPr="008E7A67">
              <w:rPr>
                <w:rFonts w:asciiTheme="minorHAnsi" w:hAnsiTheme="minorHAnsi" w:cstheme="minorHAnsi"/>
                <w:spacing w:val="-4"/>
              </w:rPr>
              <w:t xml:space="preserve"> maksustamine munitsipaalomandisse antud maa kasutusvalduse või hoonestusõigusega koormamise korral piirab oluliselt KOV võimalusi kohaliku elu ja ettevõtluse arendamiseks ega motiveeri efektiivsema maakasutuse eelduste loomiseks.</w:t>
            </w:r>
          </w:p>
        </w:tc>
      </w:tr>
      <w:tr w:rsidR="008E7A67" w:rsidRPr="008E7A67" w14:paraId="2B3921FE" w14:textId="77777777" w:rsidTr="00F408B4">
        <w:tc>
          <w:tcPr>
            <w:tcW w:w="4496" w:type="dxa"/>
          </w:tcPr>
          <w:p w14:paraId="671A2BDD" w14:textId="77777777" w:rsidR="008E7A67" w:rsidRPr="008E7A67" w:rsidRDefault="008E7A67" w:rsidP="008E7A67">
            <w:pPr>
              <w:pStyle w:val="Vahedeta"/>
              <w:jc w:val="both"/>
              <w:rPr>
                <w:rFonts w:cstheme="minorHAnsi"/>
                <w:b/>
                <w:color w:val="000000" w:themeColor="text1"/>
              </w:rPr>
            </w:pPr>
            <w:r w:rsidRPr="008E7A67">
              <w:rPr>
                <w:rFonts w:cstheme="minorHAnsi"/>
                <w:b/>
                <w:color w:val="000000" w:themeColor="text1"/>
              </w:rPr>
              <w:t>Ettepanek 9</w:t>
            </w:r>
          </w:p>
          <w:p w14:paraId="7211B637"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Kehtestada võrdsed tingimused vooluveekogude ja maaparandussüsteemide korrastamise ja hooldamise finantseerimiseks tiheasustusaladel.</w:t>
            </w:r>
          </w:p>
          <w:p w14:paraId="2C8862A1" w14:textId="77777777" w:rsidR="008E7A67" w:rsidRPr="008E7A67" w:rsidRDefault="008E7A67" w:rsidP="008E7A67">
            <w:pPr>
              <w:pStyle w:val="Vahedeta"/>
              <w:jc w:val="both"/>
              <w:rPr>
                <w:rFonts w:cstheme="minorHAnsi"/>
                <w:color w:val="0070C0"/>
              </w:rPr>
            </w:pPr>
          </w:p>
          <w:p w14:paraId="073C7DB4" w14:textId="77777777" w:rsidR="008E7A67" w:rsidRPr="008E7A67" w:rsidRDefault="008E7A67" w:rsidP="008E7A67">
            <w:pPr>
              <w:spacing w:after="0" w:line="240" w:lineRule="auto"/>
              <w:jc w:val="both"/>
              <w:rPr>
                <w:rFonts w:asciiTheme="minorHAnsi" w:eastAsia="Times New Roman" w:hAnsiTheme="minorHAnsi" w:cstheme="minorHAnsi"/>
                <w:b/>
                <w:lang w:eastAsia="et-EE"/>
              </w:rPr>
            </w:pPr>
          </w:p>
        </w:tc>
        <w:tc>
          <w:tcPr>
            <w:tcW w:w="4520" w:type="dxa"/>
          </w:tcPr>
          <w:p w14:paraId="36AF133F"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lastRenderedPageBreak/>
              <w:t>Omavalitsuste piire ületavate vooluveekogude hoolduseks puudub terviklik finantseerimis</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 xml:space="preserve">lahendus. Vooluveekogude seisundi </w:t>
            </w:r>
            <w:proofErr w:type="spellStart"/>
            <w:r w:rsidRPr="008E7A67">
              <w:rPr>
                <w:rFonts w:asciiTheme="minorHAnsi" w:hAnsiTheme="minorHAnsi" w:cstheme="minorHAnsi"/>
                <w:spacing w:val="-4"/>
                <w:sz w:val="22"/>
                <w:szCs w:val="22"/>
              </w:rPr>
              <w:t>parenda</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lastRenderedPageBreak/>
              <w:t>miseks</w:t>
            </w:r>
            <w:proofErr w:type="spellEnd"/>
            <w:r w:rsidRPr="008E7A67">
              <w:rPr>
                <w:rFonts w:asciiTheme="minorHAnsi" w:hAnsiTheme="minorHAnsi" w:cstheme="minorHAnsi"/>
                <w:spacing w:val="-4"/>
                <w:sz w:val="22"/>
                <w:szCs w:val="22"/>
              </w:rPr>
              <w:t xml:space="preserve"> on võimalik toetust taotleda Keskkonna</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investeeringute Keskusest.</w:t>
            </w:r>
          </w:p>
          <w:p w14:paraId="75821BD8"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Maaparandusseaduse mõistes maaparandus</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süsteeme linna territooriumil ei ole. Linnade territooriumitel asuvad kraavid on rajatised, millede hoolduseks maaparandussüsteemide hoolduseks mõeldud toetused ei laiene.</w:t>
            </w:r>
          </w:p>
          <w:p w14:paraId="1B732402" w14:textId="77777777" w:rsidR="008E7A67" w:rsidRPr="008E7A67" w:rsidRDefault="008E7A67" w:rsidP="008E7A67">
            <w:pPr>
              <w:spacing w:after="0" w:line="240" w:lineRule="auto"/>
              <w:jc w:val="both"/>
              <w:rPr>
                <w:rFonts w:asciiTheme="minorHAnsi" w:eastAsia="Times New Roman" w:hAnsiTheme="minorHAnsi" w:cstheme="minorHAnsi"/>
                <w:lang w:eastAsia="et-EE"/>
              </w:rPr>
            </w:pPr>
            <w:r w:rsidRPr="008E7A67">
              <w:rPr>
                <w:rFonts w:asciiTheme="minorHAnsi" w:hAnsiTheme="minorHAnsi" w:cstheme="minorHAnsi"/>
                <w:spacing w:val="-4"/>
              </w:rPr>
              <w:t>Linna territooriumil on vajalik liigvee ärajuhtimine merre, mis on ainuvõimalik maaparandussüsteeme kasutades. Seetõttu peab linn õigeks linna territooriumil maaparandussüsteemide kasutamist ning nende hoolduseks ja korrastamiseks samade finantseerimislahenduste kehtestamist.</w:t>
            </w:r>
          </w:p>
        </w:tc>
      </w:tr>
      <w:tr w:rsidR="008E7A67" w:rsidRPr="008E7A67" w14:paraId="4B42312F" w14:textId="77777777" w:rsidTr="00F408B4">
        <w:tc>
          <w:tcPr>
            <w:tcW w:w="4496" w:type="dxa"/>
          </w:tcPr>
          <w:p w14:paraId="641F2B85" w14:textId="32B6CB89" w:rsidR="008E7A67" w:rsidRPr="008E7A67" w:rsidRDefault="008E7A67" w:rsidP="008E7A67">
            <w:pPr>
              <w:pStyle w:val="Vahedeta"/>
              <w:jc w:val="both"/>
              <w:rPr>
                <w:rFonts w:cstheme="minorHAnsi"/>
                <w:b/>
                <w:color w:val="000000" w:themeColor="text1"/>
              </w:rPr>
            </w:pPr>
            <w:r w:rsidRPr="004674E0">
              <w:rPr>
                <w:rFonts w:cstheme="minorHAnsi"/>
                <w:b/>
                <w:color w:val="000000" w:themeColor="text1"/>
              </w:rPr>
              <w:lastRenderedPageBreak/>
              <w:t>Ettepanek 1</w:t>
            </w:r>
            <w:r w:rsidR="001801F8">
              <w:rPr>
                <w:rFonts w:cstheme="minorHAnsi"/>
                <w:b/>
                <w:color w:val="000000" w:themeColor="text1"/>
              </w:rPr>
              <w:t>0</w:t>
            </w:r>
          </w:p>
          <w:p w14:paraId="0C33098C" w14:textId="77777777" w:rsidR="008E7A67" w:rsidRPr="008E7A67" w:rsidRDefault="008E7A67" w:rsidP="008E7A67">
            <w:pPr>
              <w:pStyle w:val="Vahedeta"/>
              <w:jc w:val="both"/>
              <w:rPr>
                <w:rFonts w:cstheme="minorHAnsi"/>
                <w:color w:val="0070C0"/>
              </w:rPr>
            </w:pPr>
          </w:p>
          <w:p w14:paraId="1D01E94C" w14:textId="4B7A0D5F" w:rsidR="008E7A67" w:rsidRPr="008E7A67" w:rsidRDefault="00CD1C12" w:rsidP="008E7A67">
            <w:pPr>
              <w:spacing w:after="0" w:line="240" w:lineRule="auto"/>
              <w:jc w:val="both"/>
              <w:rPr>
                <w:rFonts w:asciiTheme="minorHAnsi" w:eastAsia="Times New Roman" w:hAnsiTheme="minorHAnsi" w:cstheme="minorHAnsi"/>
                <w:b/>
                <w:lang w:eastAsia="et-EE"/>
              </w:rPr>
            </w:pPr>
            <w:r w:rsidRPr="008E7A67">
              <w:rPr>
                <w:rFonts w:asciiTheme="minorHAnsi" w:hAnsiTheme="minorHAnsi" w:cstheme="minorHAnsi"/>
                <w:spacing w:val="-4"/>
              </w:rPr>
              <w:t>Kui üldplaneering näeb ette hoonestataval alal väärtusliku kõrghaljastuse säilitamise ei ole aktsepteeritav olukord, kus metsaseadusele tuginedes metsamajandamise sildi all raiutakse ala esmalt lagedaks ning seejärel alustatakse hoonestuse kavandamisega</w:t>
            </w:r>
            <w:r>
              <w:rPr>
                <w:rFonts w:asciiTheme="minorHAnsi" w:hAnsiTheme="minorHAnsi" w:cstheme="minorHAnsi"/>
                <w:spacing w:val="-4"/>
              </w:rPr>
              <w:t xml:space="preserve">. </w:t>
            </w:r>
            <w:r w:rsidR="000F4875">
              <w:rPr>
                <w:rFonts w:asciiTheme="minorHAnsi" w:hAnsiTheme="minorHAnsi" w:cstheme="minorHAnsi"/>
                <w:spacing w:val="-4"/>
              </w:rPr>
              <w:t>V</w:t>
            </w:r>
            <w:r w:rsidR="002E3D5A" w:rsidRPr="008E7A67">
              <w:rPr>
                <w:rFonts w:asciiTheme="minorHAnsi" w:hAnsiTheme="minorHAnsi" w:cstheme="minorHAnsi"/>
                <w:spacing w:val="-4"/>
              </w:rPr>
              <w:t xml:space="preserve">ähemalt tiheasustusalal tuleb kehtiva </w:t>
            </w:r>
            <w:proofErr w:type="spellStart"/>
            <w:r w:rsidR="002E3D5A" w:rsidRPr="008E7A67">
              <w:rPr>
                <w:rFonts w:asciiTheme="minorHAnsi" w:hAnsiTheme="minorHAnsi" w:cstheme="minorHAnsi"/>
                <w:spacing w:val="-4"/>
              </w:rPr>
              <w:t>üld</w:t>
            </w:r>
            <w:r w:rsidR="002E3D5A">
              <w:rPr>
                <w:rFonts w:asciiTheme="minorHAnsi" w:hAnsiTheme="minorHAnsi" w:cstheme="minorHAnsi"/>
                <w:spacing w:val="-4"/>
              </w:rPr>
              <w:t>-</w:t>
            </w:r>
            <w:r w:rsidR="002E3D5A" w:rsidRPr="008E7A67">
              <w:rPr>
                <w:rFonts w:asciiTheme="minorHAnsi" w:hAnsiTheme="minorHAnsi" w:cstheme="minorHAnsi"/>
                <w:spacing w:val="-4"/>
              </w:rPr>
              <w:t>planeeringuga</w:t>
            </w:r>
            <w:proofErr w:type="spellEnd"/>
            <w:r w:rsidR="002E3D5A" w:rsidRPr="008E7A67">
              <w:rPr>
                <w:rFonts w:asciiTheme="minorHAnsi" w:hAnsiTheme="minorHAnsi" w:cstheme="minorHAnsi"/>
                <w:spacing w:val="-4"/>
              </w:rPr>
              <w:t xml:space="preserve"> arvestada vähemalt samavõrd kui metsaseadusega.</w:t>
            </w:r>
          </w:p>
        </w:tc>
        <w:tc>
          <w:tcPr>
            <w:tcW w:w="4520" w:type="dxa"/>
          </w:tcPr>
          <w:p w14:paraId="6D5FCD3E"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Kehtiv metsaseaduse redaktsioon võimaldab maaomanikul teostada lageraiet aladel, kus üldplaneeringu kohaselt tuleb kõrghaljastus säilitada. Planeeringu kehtestamise näol on tegemist ühiskondlikku kokkuleppega, millega määratletakse elanikkonna elu- töö- ja </w:t>
            </w:r>
            <w:proofErr w:type="spellStart"/>
            <w:r w:rsidRPr="008E7A67">
              <w:rPr>
                <w:rFonts w:asciiTheme="minorHAnsi" w:hAnsiTheme="minorHAnsi" w:cstheme="minorHAnsi"/>
                <w:spacing w:val="-4"/>
                <w:sz w:val="22"/>
                <w:szCs w:val="22"/>
              </w:rPr>
              <w:t>puhkekeskkonna</w:t>
            </w:r>
            <w:proofErr w:type="spellEnd"/>
            <w:r w:rsidRPr="008E7A67">
              <w:rPr>
                <w:rFonts w:asciiTheme="minorHAnsi" w:hAnsiTheme="minorHAnsi" w:cstheme="minorHAnsi"/>
                <w:spacing w:val="-4"/>
                <w:sz w:val="22"/>
                <w:szCs w:val="22"/>
              </w:rPr>
              <w:t xml:space="preserve"> arengu põhimõtted ja </w:t>
            </w:r>
            <w:proofErr w:type="spellStart"/>
            <w:r w:rsidRPr="008E7A67">
              <w:rPr>
                <w:rFonts w:asciiTheme="minorHAnsi" w:hAnsiTheme="minorHAnsi" w:cstheme="minorHAnsi"/>
                <w:spacing w:val="-4"/>
                <w:sz w:val="22"/>
                <w:szCs w:val="22"/>
              </w:rPr>
              <w:t>suun</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dumused</w:t>
            </w:r>
            <w:proofErr w:type="spellEnd"/>
            <w:r w:rsidRPr="008E7A67">
              <w:rPr>
                <w:rFonts w:asciiTheme="minorHAnsi" w:hAnsiTheme="minorHAnsi" w:cstheme="minorHAnsi"/>
                <w:spacing w:val="-4"/>
                <w:sz w:val="22"/>
                <w:szCs w:val="22"/>
              </w:rPr>
              <w:t xml:space="preserve"> pikemaks perioodiks (üldplaneering) ning lähiaastate ehitustegevuse alused lühemaks perioodiks (detailplaneering). Metsaseaduse § 4 lõige 2 punkt 4 sätestab, et metsaseadust ei kohaldata maatüki või kinnisasja suhtes, kus projekteerimistingimuste või detailplaneeringu kohaselt on kavandatud metsa majandamisest erinev maakasutus. Seega arvestab kehtiv metsaseadus omavalitsuse ruumilise </w:t>
            </w:r>
            <w:proofErr w:type="spellStart"/>
            <w:r w:rsidRPr="008E7A67">
              <w:rPr>
                <w:rFonts w:asciiTheme="minorHAnsi" w:hAnsiTheme="minorHAnsi" w:cstheme="minorHAnsi"/>
                <w:spacing w:val="-4"/>
                <w:sz w:val="22"/>
                <w:szCs w:val="22"/>
              </w:rPr>
              <w:t>aren</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guvisiooniga</w:t>
            </w:r>
            <w:proofErr w:type="spellEnd"/>
            <w:r w:rsidRPr="008E7A67">
              <w:rPr>
                <w:rFonts w:asciiTheme="minorHAnsi" w:hAnsiTheme="minorHAnsi" w:cstheme="minorHAnsi"/>
                <w:spacing w:val="-4"/>
                <w:sz w:val="22"/>
                <w:szCs w:val="22"/>
              </w:rPr>
              <w:t xml:space="preserve"> ainult lühikeses ehitustegevuse alustega piirduvas perspektiivis, s.o </w:t>
            </w:r>
            <w:proofErr w:type="spellStart"/>
            <w:r w:rsidRPr="008E7A67">
              <w:rPr>
                <w:rFonts w:asciiTheme="minorHAnsi" w:hAnsiTheme="minorHAnsi" w:cstheme="minorHAnsi"/>
                <w:spacing w:val="-4"/>
                <w:sz w:val="22"/>
                <w:szCs w:val="22"/>
              </w:rPr>
              <w:t>detail</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planeeringu</w:t>
            </w:r>
            <w:proofErr w:type="spellEnd"/>
            <w:r w:rsidRPr="008E7A67">
              <w:rPr>
                <w:rFonts w:asciiTheme="minorHAnsi" w:hAnsiTheme="minorHAnsi" w:cstheme="minorHAnsi"/>
                <w:spacing w:val="-4"/>
                <w:sz w:val="22"/>
                <w:szCs w:val="22"/>
              </w:rPr>
              <w:t xml:space="preserve"> perspektiivis. Metsa majandamise mõjud (nt lageraie) on aga eelkõige elukeskkonnale pigem pikemaajalise ning ruumi arengu seisukohast põhimõttelise mõjuga, iseäranis olukorras, kus metsa majandamine piirneb üksnes lageraiega ning sellele ei järgne metsa uuendamist. Eelnevale tuginedes on igati põhjendatud, et vähemalt tiheasustusalal tuleb kehtiva </w:t>
            </w:r>
            <w:proofErr w:type="spellStart"/>
            <w:r w:rsidRPr="008E7A67">
              <w:rPr>
                <w:rFonts w:asciiTheme="minorHAnsi" w:hAnsiTheme="minorHAnsi" w:cstheme="minorHAnsi"/>
                <w:spacing w:val="-4"/>
                <w:sz w:val="22"/>
                <w:szCs w:val="22"/>
              </w:rPr>
              <w:t>üld</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planeeringuga</w:t>
            </w:r>
            <w:proofErr w:type="spellEnd"/>
            <w:r w:rsidRPr="008E7A67">
              <w:rPr>
                <w:rFonts w:asciiTheme="minorHAnsi" w:hAnsiTheme="minorHAnsi" w:cstheme="minorHAnsi"/>
                <w:spacing w:val="-4"/>
                <w:sz w:val="22"/>
                <w:szCs w:val="22"/>
              </w:rPr>
              <w:t xml:space="preserve"> arvestada vähemalt samavõrd kui metsaseadusega. Kui üldplaneering näeb ette hoonestataval alal väärtusliku kõrghaljastuse säilitamise ei ole aktsepteeritav olukord, kus metsaseadusele tuginedes metsamajandamise sildi all raiutakse ala esmalt lagedaks ning seejärel alustatakse hoonestuse kavandamisega.</w:t>
            </w:r>
          </w:p>
          <w:p w14:paraId="0F51AC0D" w14:textId="77777777" w:rsidR="008E7A67" w:rsidRPr="008E7A67" w:rsidRDefault="008E7A67" w:rsidP="008E7A67">
            <w:pPr>
              <w:spacing w:after="0" w:line="240" w:lineRule="auto"/>
              <w:jc w:val="both"/>
              <w:rPr>
                <w:rFonts w:asciiTheme="minorHAnsi" w:eastAsia="Times New Roman" w:hAnsiTheme="minorHAnsi" w:cstheme="minorHAnsi"/>
                <w:lang w:eastAsia="et-EE"/>
              </w:rPr>
            </w:pPr>
            <w:r w:rsidRPr="008E7A67">
              <w:rPr>
                <w:rFonts w:asciiTheme="minorHAnsi" w:hAnsiTheme="minorHAnsi" w:cstheme="minorHAnsi"/>
                <w:spacing w:val="-4"/>
              </w:rPr>
              <w:t>Muudatuse tulemusena kasvab vähesel määral omavalitsuste töökoormus raielubade kooskõlastamisel ning samavõrra väheneb riigi Keskkonnaameti koormus.</w:t>
            </w:r>
          </w:p>
        </w:tc>
      </w:tr>
      <w:tr w:rsidR="008E7A67" w:rsidRPr="008E7A67" w14:paraId="73931099" w14:textId="77777777" w:rsidTr="00F408B4">
        <w:tc>
          <w:tcPr>
            <w:tcW w:w="4496" w:type="dxa"/>
          </w:tcPr>
          <w:p w14:paraId="5C415782" w14:textId="3F155535" w:rsidR="008E7A67" w:rsidRPr="008E7A67" w:rsidRDefault="008E7A67" w:rsidP="008E7A67">
            <w:pPr>
              <w:pStyle w:val="Vahedeta"/>
              <w:jc w:val="both"/>
              <w:rPr>
                <w:rFonts w:cstheme="minorHAnsi"/>
                <w:b/>
                <w:color w:val="000000" w:themeColor="text1"/>
              </w:rPr>
            </w:pPr>
            <w:r w:rsidRPr="009938A6">
              <w:rPr>
                <w:rFonts w:cstheme="minorHAnsi"/>
                <w:b/>
                <w:color w:val="000000" w:themeColor="text1"/>
              </w:rPr>
              <w:lastRenderedPageBreak/>
              <w:t>Ettepanek 1</w:t>
            </w:r>
            <w:r w:rsidR="009938A6">
              <w:rPr>
                <w:rFonts w:cstheme="minorHAnsi"/>
                <w:b/>
                <w:color w:val="000000" w:themeColor="text1"/>
              </w:rPr>
              <w:t>1</w:t>
            </w:r>
          </w:p>
          <w:p w14:paraId="10C65080" w14:textId="24D27BFC" w:rsidR="0087106C" w:rsidRDefault="00171998" w:rsidP="008E7A67">
            <w:pPr>
              <w:pStyle w:val="Standard"/>
              <w:spacing w:after="0" w:line="240" w:lineRule="auto"/>
              <w:jc w:val="both"/>
              <w:rPr>
                <w:rFonts w:asciiTheme="minorHAnsi" w:hAnsiTheme="minorHAnsi" w:cstheme="minorHAnsi"/>
                <w:spacing w:val="-4"/>
                <w:sz w:val="22"/>
                <w:szCs w:val="22"/>
              </w:rPr>
            </w:pPr>
            <w:r>
              <w:rPr>
                <w:rFonts w:asciiTheme="minorHAnsi" w:hAnsiTheme="minorHAnsi" w:cstheme="minorHAnsi"/>
                <w:spacing w:val="-4"/>
                <w:sz w:val="22"/>
                <w:szCs w:val="22"/>
              </w:rPr>
              <w:t>L</w:t>
            </w:r>
            <w:r w:rsidRPr="008E7A67">
              <w:rPr>
                <w:rFonts w:asciiTheme="minorHAnsi" w:hAnsiTheme="minorHAnsi" w:cstheme="minorHAnsi"/>
                <w:spacing w:val="-4"/>
                <w:sz w:val="22"/>
                <w:szCs w:val="22"/>
              </w:rPr>
              <w:t>uua võimaus omavalitsuskeskse jäätmeveosüsteemi rakendamiseks.</w:t>
            </w:r>
            <w:r>
              <w:rPr>
                <w:rFonts w:asciiTheme="minorHAnsi" w:hAnsiTheme="minorHAnsi" w:cstheme="minorHAnsi"/>
                <w:spacing w:val="-4"/>
                <w:sz w:val="22"/>
                <w:szCs w:val="22"/>
              </w:rPr>
              <w:t xml:space="preserve"> </w:t>
            </w:r>
            <w:r w:rsidR="00463D97" w:rsidRPr="008E7A67">
              <w:rPr>
                <w:rFonts w:asciiTheme="minorHAnsi" w:hAnsiTheme="minorHAnsi" w:cstheme="minorHAnsi"/>
                <w:spacing w:val="-4"/>
                <w:sz w:val="22"/>
                <w:szCs w:val="22"/>
              </w:rPr>
              <w:t xml:space="preserve">Jäätmeseaduses tuleb sõnastada selge alus, et </w:t>
            </w:r>
            <w:proofErr w:type="spellStart"/>
            <w:r w:rsidR="00463D97" w:rsidRPr="008E7A67">
              <w:rPr>
                <w:rFonts w:asciiTheme="minorHAnsi" w:hAnsiTheme="minorHAnsi" w:cstheme="minorHAnsi"/>
                <w:spacing w:val="-4"/>
                <w:sz w:val="22"/>
                <w:szCs w:val="22"/>
              </w:rPr>
              <w:t>KOV</w:t>
            </w:r>
            <w:r w:rsidR="00463D97">
              <w:rPr>
                <w:rFonts w:asciiTheme="minorHAnsi" w:hAnsiTheme="minorHAnsi" w:cstheme="minorHAnsi"/>
                <w:spacing w:val="-4"/>
                <w:sz w:val="22"/>
                <w:szCs w:val="22"/>
              </w:rPr>
              <w:t>-</w:t>
            </w:r>
            <w:r w:rsidR="00463D97" w:rsidRPr="008E7A67">
              <w:rPr>
                <w:rFonts w:asciiTheme="minorHAnsi" w:hAnsiTheme="minorHAnsi" w:cstheme="minorHAnsi"/>
                <w:spacing w:val="-4"/>
                <w:sz w:val="22"/>
                <w:szCs w:val="22"/>
              </w:rPr>
              <w:t>id</w:t>
            </w:r>
            <w:proofErr w:type="spellEnd"/>
            <w:r w:rsidR="00463D97" w:rsidRPr="008E7A67">
              <w:rPr>
                <w:rFonts w:asciiTheme="minorHAnsi" w:hAnsiTheme="minorHAnsi" w:cstheme="minorHAnsi"/>
                <w:spacing w:val="-4"/>
                <w:sz w:val="22"/>
                <w:szCs w:val="22"/>
              </w:rPr>
              <w:t xml:space="preserve"> võivad küsida korraldatud jäätmeveo teenuse osutamise eest tasu</w:t>
            </w:r>
            <w:r w:rsidR="009336EB">
              <w:rPr>
                <w:rFonts w:asciiTheme="minorHAnsi" w:hAnsiTheme="minorHAnsi" w:cstheme="minorHAnsi"/>
                <w:spacing w:val="-4"/>
                <w:sz w:val="22"/>
                <w:szCs w:val="22"/>
              </w:rPr>
              <w:t>.</w:t>
            </w:r>
          </w:p>
          <w:p w14:paraId="51C6EE1E" w14:textId="239B1D78"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Teeme ettepaneku täiendada jäätmeseadust § 65 lõikega 2, muutes järgnevat numeratsiooni, järgmiselt:</w:t>
            </w:r>
          </w:p>
          <w:p w14:paraId="2C3E4E5D" w14:textId="4C4F9CEB"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„(2) Jäätmeveo võib korraldada selliselt, et jäätmeid vedava ettevõtja ainsaks kliendiks ja temale tasu maksjaks on kohaliku omavalitsuse üksus või selle üksuse volitatud </w:t>
            </w:r>
            <w:proofErr w:type="spellStart"/>
            <w:r w:rsidRPr="008E7A67">
              <w:rPr>
                <w:rFonts w:asciiTheme="minorHAnsi" w:hAnsiTheme="minorHAnsi" w:cstheme="minorHAnsi"/>
                <w:spacing w:val="-4"/>
                <w:sz w:val="22"/>
                <w:szCs w:val="22"/>
              </w:rPr>
              <w:t>mittetulun</w:t>
            </w:r>
            <w:r w:rsidR="00E420EC">
              <w:rPr>
                <w:rFonts w:asciiTheme="minorHAnsi" w:hAnsiTheme="minorHAnsi" w:cstheme="minorHAnsi"/>
                <w:spacing w:val="-4"/>
                <w:sz w:val="22"/>
                <w:szCs w:val="22"/>
              </w:rPr>
              <w:t>-</w:t>
            </w:r>
            <w:r w:rsidRPr="008E7A67">
              <w:rPr>
                <w:rFonts w:asciiTheme="minorHAnsi" w:hAnsiTheme="minorHAnsi" w:cstheme="minorHAnsi"/>
                <w:spacing w:val="-4"/>
                <w:sz w:val="22"/>
                <w:szCs w:val="22"/>
              </w:rPr>
              <w:t>dusühing</w:t>
            </w:r>
            <w:proofErr w:type="spellEnd"/>
            <w:r w:rsidRPr="008E7A67">
              <w:rPr>
                <w:rFonts w:asciiTheme="minorHAnsi" w:hAnsiTheme="minorHAnsi" w:cstheme="minorHAnsi"/>
                <w:spacing w:val="-4"/>
                <w:sz w:val="22"/>
                <w:szCs w:val="22"/>
              </w:rPr>
              <w:t xml:space="preserve">. Sellisel juhul lasub jäätmevaldajate üle arvestuse pidamise ning nendega arveldamise kohustus kohaliku omavalitsuse üksusel või selle üksuse volitatud mittetulundusühingul.“ </w:t>
            </w:r>
          </w:p>
          <w:p w14:paraId="6D510B17"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p>
          <w:p w14:paraId="5923723B" w14:textId="77777777" w:rsidR="008E7A67" w:rsidRPr="008E7A67" w:rsidRDefault="008E7A67" w:rsidP="008E7A67">
            <w:pPr>
              <w:pStyle w:val="Vahedeta"/>
              <w:jc w:val="both"/>
              <w:rPr>
                <w:rFonts w:cstheme="minorHAnsi"/>
                <w:color w:val="0070C0"/>
              </w:rPr>
            </w:pPr>
          </w:p>
          <w:p w14:paraId="3FE22B75" w14:textId="77777777" w:rsidR="008E7A67" w:rsidRPr="008E7A67" w:rsidRDefault="008E7A67" w:rsidP="008E7A67">
            <w:pPr>
              <w:spacing w:after="0" w:line="240" w:lineRule="auto"/>
              <w:jc w:val="both"/>
              <w:rPr>
                <w:rFonts w:asciiTheme="minorHAnsi" w:eastAsia="Times New Roman" w:hAnsiTheme="minorHAnsi" w:cstheme="minorHAnsi"/>
                <w:b/>
                <w:lang w:eastAsia="et-EE"/>
              </w:rPr>
            </w:pPr>
          </w:p>
        </w:tc>
        <w:tc>
          <w:tcPr>
            <w:tcW w:w="4520" w:type="dxa"/>
          </w:tcPr>
          <w:p w14:paraId="33FC6686" w14:textId="77777777" w:rsidR="00BC3DD7" w:rsidRDefault="00BC3DD7" w:rsidP="00BC3DD7">
            <w:pPr>
              <w:spacing w:line="252" w:lineRule="auto"/>
              <w:jc w:val="both"/>
              <w:rPr>
                <w:rFonts w:ascii="Times New Roman" w:hAnsi="Times New Roman"/>
                <w:sz w:val="24"/>
                <w:szCs w:val="24"/>
              </w:rPr>
            </w:pPr>
            <w:r>
              <w:rPr>
                <w:rFonts w:ascii="Times New Roman" w:hAnsi="Times New Roman"/>
                <w:sz w:val="24"/>
                <w:szCs w:val="24"/>
              </w:rPr>
              <w:t>Alates 06.01.2015 on kehtetu jäätmeseaduse § 66 lg 1</w:t>
            </w:r>
            <w:r>
              <w:rPr>
                <w:rFonts w:ascii="Times New Roman" w:hAnsi="Times New Roman"/>
                <w:sz w:val="24"/>
                <w:szCs w:val="24"/>
                <w:vertAlign w:val="superscript"/>
              </w:rPr>
              <w:t>1</w:t>
            </w:r>
            <w:r>
              <w:rPr>
                <w:rFonts w:ascii="Times New Roman" w:hAnsi="Times New Roman"/>
                <w:sz w:val="24"/>
                <w:szCs w:val="24"/>
              </w:rPr>
              <w:t xml:space="preserve">, mis andis kohaliku omavalitsuse üksusele volituse osutada jäätmevaldajatele korraldatud jäätmeveo teenust ja küsida neilt osutatud teenuse eest tasu. </w:t>
            </w:r>
          </w:p>
          <w:p w14:paraId="74F5F061" w14:textId="77777777" w:rsidR="00BC3DD7" w:rsidRDefault="00BC3DD7" w:rsidP="00BC3DD7">
            <w:pPr>
              <w:spacing w:line="252" w:lineRule="auto"/>
              <w:jc w:val="both"/>
              <w:rPr>
                <w:rFonts w:ascii="Times New Roman" w:hAnsi="Times New Roman"/>
                <w:sz w:val="24"/>
                <w:szCs w:val="24"/>
              </w:rPr>
            </w:pPr>
            <w:r>
              <w:rPr>
                <w:rFonts w:ascii="Times New Roman" w:hAnsi="Times New Roman"/>
                <w:sz w:val="24"/>
                <w:szCs w:val="24"/>
              </w:rPr>
              <w:t xml:space="preserve">Nimetatud sätte kehtetuks tunnistamine riivab kohaliku omavalitsuse üksuse enesekorraldusõigust ja õigust otsustada, kuidas oma haldusterritooriumil jäätmehooldust korraldada. Tallinna linn osutab korraldatud jäätmevedu 9-s jäätmeveopiirkonnas 13-st ja leiab, et tegemist on nii riigi jäätmepoliitika (nt jäätmete ringlussevõtu sihtmäärade saavutamine) kui ka jäätmevaldajate jaoks parima võimaliku lahendusega, mis tuleb jäätmeseaduses </w:t>
            </w:r>
            <w:proofErr w:type="spellStart"/>
            <w:r>
              <w:rPr>
                <w:rFonts w:ascii="Times New Roman" w:hAnsi="Times New Roman"/>
                <w:sz w:val="24"/>
                <w:szCs w:val="24"/>
              </w:rPr>
              <w:t>taaskehtestada</w:t>
            </w:r>
            <w:proofErr w:type="spellEnd"/>
            <w:r>
              <w:rPr>
                <w:rFonts w:ascii="Times New Roman" w:hAnsi="Times New Roman"/>
                <w:sz w:val="24"/>
                <w:szCs w:val="24"/>
              </w:rPr>
              <w:t>.</w:t>
            </w:r>
          </w:p>
          <w:p w14:paraId="745B748C" w14:textId="1A13A0F1" w:rsidR="008E7A67" w:rsidRPr="008E7A67" w:rsidRDefault="00BC3DD7" w:rsidP="00BC3DD7">
            <w:pPr>
              <w:pStyle w:val="Standard"/>
              <w:spacing w:after="0" w:line="240" w:lineRule="auto"/>
              <w:jc w:val="both"/>
              <w:rPr>
                <w:rFonts w:asciiTheme="minorHAnsi" w:eastAsia="Times New Roman" w:hAnsiTheme="minorHAnsi" w:cstheme="minorHAnsi"/>
                <w:sz w:val="22"/>
                <w:szCs w:val="22"/>
                <w:lang w:eastAsia="et-EE"/>
              </w:rPr>
            </w:pPr>
            <w:r>
              <w:t xml:space="preserve">Korraldatud jäätmeveo teenuse osutamine kohaliku omavalitsuse üksuse poolt võimaldab omavalitsusel saada vahetut teavet korraldatud jäätmeveoga liitunutest, mis omakorda võimaldab paremini järelevalvet teostada. Samuti on kohaliku omavalitsuse üksusel sellisel juhul aktuaalsed andmed tekkivate jäätmevoogude kohta. Seni jäätmevedajate poolt edastatud andmed on olnud puudulikud. Kohaliku omavalitsuse üksuse poolt teenuse osutamine tagab, et jäätmevedajal ei teki motivatsiooni jäätmevaldajatelt kogutud jäätmeid ebaseaduslikult ladestada, sest jäätmekäitluskohale maksab omavalitsus, mitte vedaja. Ettepaneku elluviimine võimaldab kohaliku omavalitsuse üksusel jäätmeveohinda jäätmeliikide lõikes </w:t>
            </w:r>
            <w:proofErr w:type="spellStart"/>
            <w:r>
              <w:t>ristsubsideerida</w:t>
            </w:r>
            <w:proofErr w:type="spellEnd"/>
            <w:r>
              <w:t xml:space="preserve"> ja kehtestada jäätmevaldajale liigiti kogutud jäätmete äraandmise eest odavam hind kui näiteks segaolmejäätmete äraandmise eest, edendades selle kaudu tekkekohal jäätmete liigiti kogumist.</w:t>
            </w:r>
          </w:p>
        </w:tc>
      </w:tr>
      <w:tr w:rsidR="008E7A67" w:rsidRPr="008E7A67" w14:paraId="31D2E062" w14:textId="77777777" w:rsidTr="00F408B4">
        <w:tc>
          <w:tcPr>
            <w:tcW w:w="4496" w:type="dxa"/>
          </w:tcPr>
          <w:p w14:paraId="6BF0B397" w14:textId="3AB10159" w:rsidR="008E7A67" w:rsidRPr="008E7A67" w:rsidRDefault="008E7A67" w:rsidP="008E7A67">
            <w:pPr>
              <w:pStyle w:val="Vahedeta"/>
              <w:jc w:val="both"/>
              <w:rPr>
                <w:rFonts w:cstheme="minorHAnsi"/>
                <w:b/>
                <w:color w:val="000000" w:themeColor="text1"/>
              </w:rPr>
            </w:pPr>
            <w:r w:rsidRPr="008E7A67">
              <w:rPr>
                <w:rFonts w:cstheme="minorHAnsi"/>
                <w:b/>
                <w:color w:val="000000" w:themeColor="text1"/>
              </w:rPr>
              <w:t>Ettepanek 1</w:t>
            </w:r>
            <w:r w:rsidR="009938A6">
              <w:rPr>
                <w:rFonts w:cstheme="minorHAnsi"/>
                <w:b/>
                <w:color w:val="000000" w:themeColor="text1"/>
              </w:rPr>
              <w:t>2</w:t>
            </w:r>
          </w:p>
          <w:p w14:paraId="0C26AB5C" w14:textId="77777777" w:rsidR="008E7A67" w:rsidRP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 xml:space="preserve">Lubada korraldatud jäätmeveole kohaldada riigihangete seaduse kohast </w:t>
            </w:r>
            <w:proofErr w:type="spellStart"/>
            <w:r w:rsidRPr="008E7A67">
              <w:rPr>
                <w:rFonts w:asciiTheme="minorHAnsi" w:hAnsiTheme="minorHAnsi" w:cstheme="minorHAnsi"/>
                <w:spacing w:val="-4"/>
                <w:sz w:val="22"/>
                <w:szCs w:val="22"/>
              </w:rPr>
              <w:t>sisetehingute</w:t>
            </w:r>
            <w:proofErr w:type="spellEnd"/>
            <w:r w:rsidRPr="008E7A67">
              <w:rPr>
                <w:rFonts w:asciiTheme="minorHAnsi" w:hAnsiTheme="minorHAnsi" w:cstheme="minorHAnsi"/>
                <w:spacing w:val="-4"/>
                <w:sz w:val="22"/>
                <w:szCs w:val="22"/>
              </w:rPr>
              <w:t xml:space="preserve"> regulatsiooni ning vastavalt tunnistada kehtetuks ja jätta välja </w:t>
            </w:r>
            <w:proofErr w:type="spellStart"/>
            <w:r w:rsidRPr="008E7A67">
              <w:rPr>
                <w:rFonts w:asciiTheme="minorHAnsi" w:hAnsiTheme="minorHAnsi" w:cstheme="minorHAnsi"/>
                <w:spacing w:val="-4"/>
                <w:sz w:val="22"/>
                <w:szCs w:val="22"/>
              </w:rPr>
              <w:t>sisetehingut</w:t>
            </w:r>
            <w:proofErr w:type="spellEnd"/>
            <w:r w:rsidRPr="008E7A67">
              <w:rPr>
                <w:rFonts w:asciiTheme="minorHAnsi" w:hAnsiTheme="minorHAnsi" w:cstheme="minorHAnsi"/>
                <w:spacing w:val="-4"/>
                <w:sz w:val="22"/>
                <w:szCs w:val="22"/>
              </w:rPr>
              <w:t xml:space="preserve"> keelavad sätted jäätmeseaduse § 1 lõikest 5</w:t>
            </w:r>
          </w:p>
          <w:p w14:paraId="42889381" w14:textId="77777777" w:rsidR="008E7A67" w:rsidRPr="008E7A67" w:rsidRDefault="008E7A67" w:rsidP="008E7A67">
            <w:pPr>
              <w:pStyle w:val="Vahedeta"/>
              <w:jc w:val="both"/>
              <w:rPr>
                <w:rFonts w:cstheme="minorHAnsi"/>
                <w:color w:val="0070C0"/>
              </w:rPr>
            </w:pPr>
          </w:p>
          <w:p w14:paraId="0C8FA6B7" w14:textId="77777777" w:rsidR="008E7A67" w:rsidRPr="008E7A67" w:rsidRDefault="008E7A67" w:rsidP="008E7A67">
            <w:pPr>
              <w:spacing w:after="0" w:line="240" w:lineRule="auto"/>
              <w:jc w:val="both"/>
              <w:rPr>
                <w:rFonts w:asciiTheme="minorHAnsi" w:eastAsia="Times New Roman" w:hAnsiTheme="minorHAnsi" w:cstheme="minorHAnsi"/>
                <w:b/>
                <w:lang w:eastAsia="et-EE"/>
              </w:rPr>
            </w:pPr>
          </w:p>
        </w:tc>
        <w:tc>
          <w:tcPr>
            <w:tcW w:w="4520" w:type="dxa"/>
          </w:tcPr>
          <w:p w14:paraId="7DFB6EB4" w14:textId="5518A387" w:rsidR="008E7A67" w:rsidRPr="008E7A67" w:rsidRDefault="00B53E4C" w:rsidP="008E7A67">
            <w:pPr>
              <w:pStyle w:val="Standard"/>
              <w:spacing w:after="0" w:line="240" w:lineRule="auto"/>
              <w:jc w:val="both"/>
              <w:rPr>
                <w:rFonts w:asciiTheme="minorHAnsi" w:eastAsia="Times New Roman" w:hAnsiTheme="minorHAnsi" w:cstheme="minorHAnsi"/>
                <w:sz w:val="22"/>
                <w:szCs w:val="22"/>
                <w:lang w:eastAsia="et-EE"/>
              </w:rPr>
            </w:pPr>
            <w:r w:rsidRPr="00F94698">
              <w:t>Sätte kohaselt ei ole lubatud korraldatud jäätmeveo</w:t>
            </w:r>
            <w:r>
              <w:t xml:space="preserve"> tellimine </w:t>
            </w:r>
            <w:proofErr w:type="spellStart"/>
            <w:r>
              <w:t>sisetehingu</w:t>
            </w:r>
            <w:proofErr w:type="spellEnd"/>
            <w:r>
              <w:t xml:space="preserve"> korras riigihanget korraldamata. Kui jäätmeseaduses vastavat keeldu ei oleks, oleks </w:t>
            </w:r>
            <w:proofErr w:type="spellStart"/>
            <w:r>
              <w:t>sisetehingu</w:t>
            </w:r>
            <w:proofErr w:type="spellEnd"/>
            <w:r>
              <w:t xml:space="preserve"> tegemine riigihangete seaduse § 12 alusel lubatud. Puudub mõistlik põhjendus võtta kohaliku omavalitsuse üksuselt ära riigihangete seaduse kohaselt </w:t>
            </w:r>
            <w:r>
              <w:lastRenderedPageBreak/>
              <w:t xml:space="preserve">lubatud õigus teha </w:t>
            </w:r>
            <w:proofErr w:type="spellStart"/>
            <w:r>
              <w:t>sisetehingut</w:t>
            </w:r>
            <w:proofErr w:type="spellEnd"/>
            <w:r w:rsidR="00466BBD">
              <w:t>.</w:t>
            </w:r>
            <w:r>
              <w:t xml:space="preserve"> </w:t>
            </w:r>
            <w:r w:rsidR="008E7A67" w:rsidRPr="008E7A67">
              <w:rPr>
                <w:rFonts w:asciiTheme="minorHAnsi" w:hAnsiTheme="minorHAnsi" w:cstheme="minorHAnsi"/>
                <w:spacing w:val="-4"/>
                <w:sz w:val="22"/>
                <w:szCs w:val="22"/>
              </w:rPr>
              <w:t>Omavalitsustel peab olema võimalus valida sobivaim viis jäätmeveo korraldamiseks. Nii Euroopa Liidus kui ka maailmas on nii veemajanduses kui ka jäätmemajanduses trend selline, et parema ja stabiilselt tulemuslikumaks muutuva teenuse tagab KOV-kesksetele lahendustele, sealhulgas in-</w:t>
            </w:r>
            <w:proofErr w:type="spellStart"/>
            <w:r w:rsidR="008E7A67" w:rsidRPr="008E7A67">
              <w:rPr>
                <w:rFonts w:asciiTheme="minorHAnsi" w:hAnsiTheme="minorHAnsi" w:cstheme="minorHAnsi"/>
                <w:spacing w:val="-4"/>
                <w:sz w:val="22"/>
                <w:szCs w:val="22"/>
              </w:rPr>
              <w:t>house</w:t>
            </w:r>
            <w:proofErr w:type="spellEnd"/>
            <w:r w:rsidR="008E7A67" w:rsidRPr="008E7A67">
              <w:rPr>
                <w:rFonts w:asciiTheme="minorHAnsi" w:hAnsiTheme="minorHAnsi" w:cstheme="minorHAnsi"/>
                <w:spacing w:val="-4"/>
                <w:sz w:val="22"/>
                <w:szCs w:val="22"/>
              </w:rPr>
              <w:t xml:space="preserve"> lahendustele tagasipöördumine.</w:t>
            </w:r>
          </w:p>
        </w:tc>
      </w:tr>
      <w:tr w:rsidR="008E7A67" w:rsidRPr="008E7A67" w14:paraId="7142CF03" w14:textId="77777777" w:rsidTr="00F408B4">
        <w:tc>
          <w:tcPr>
            <w:tcW w:w="4496" w:type="dxa"/>
          </w:tcPr>
          <w:p w14:paraId="01F6E626" w14:textId="57458FFA" w:rsidR="008E7A67" w:rsidRPr="008E7A67" w:rsidRDefault="008E7A67" w:rsidP="008E7A67">
            <w:pPr>
              <w:pStyle w:val="Vahedeta"/>
              <w:jc w:val="both"/>
              <w:rPr>
                <w:rFonts w:cstheme="minorHAnsi"/>
                <w:b/>
                <w:color w:val="000000" w:themeColor="text1"/>
              </w:rPr>
            </w:pPr>
            <w:r w:rsidRPr="008E7A67">
              <w:rPr>
                <w:rFonts w:cstheme="minorHAnsi"/>
                <w:b/>
                <w:color w:val="000000" w:themeColor="text1"/>
              </w:rPr>
              <w:lastRenderedPageBreak/>
              <w:t>Ettepanek 1</w:t>
            </w:r>
            <w:r w:rsidR="009938A6">
              <w:rPr>
                <w:rFonts w:cstheme="minorHAnsi"/>
                <w:b/>
                <w:color w:val="000000" w:themeColor="text1"/>
              </w:rPr>
              <w:t>3</w:t>
            </w:r>
          </w:p>
          <w:p w14:paraId="77E7EB69" w14:textId="11503E50" w:rsidR="008E7A67" w:rsidRDefault="008E7A67" w:rsidP="008E7A67">
            <w:pPr>
              <w:pStyle w:val="Standard"/>
              <w:spacing w:after="0" w:line="240" w:lineRule="auto"/>
              <w:jc w:val="both"/>
              <w:rPr>
                <w:rFonts w:asciiTheme="minorHAnsi" w:hAnsiTheme="minorHAnsi" w:cstheme="minorHAnsi"/>
                <w:spacing w:val="-4"/>
                <w:sz w:val="22"/>
                <w:szCs w:val="22"/>
              </w:rPr>
            </w:pPr>
            <w:r w:rsidRPr="008E7A67">
              <w:rPr>
                <w:rFonts w:asciiTheme="minorHAnsi" w:hAnsiTheme="minorHAnsi" w:cstheme="minorHAnsi"/>
                <w:spacing w:val="-4"/>
                <w:sz w:val="22"/>
                <w:szCs w:val="22"/>
              </w:rPr>
              <w:t>Muuta jäätmeseaduse § 77 lõiget 2 ja sõnastada see järgmiselt: „Jäätmeloa taotluse koopia esitab loa andja pärast taotluse nõuetele vastavuse kindlakstegemist kooskõlastamiseks taotleja tegevuskohajärgsele linna- või vallavalitsusele või, kui taotlejal puudub püsiv tegevuskoht, siis taotleja asukohajärgsele linna- või vallavalitsusele. Linna- või vallavalitsuse kooskõlastus või kooskõlastamata jätmine on loa andjale siduv.“</w:t>
            </w:r>
          </w:p>
          <w:p w14:paraId="4E73461F" w14:textId="375602E8" w:rsidR="00F15323" w:rsidRDefault="00F15323" w:rsidP="008E7A67">
            <w:pPr>
              <w:pStyle w:val="Standard"/>
              <w:spacing w:after="0" w:line="240" w:lineRule="auto"/>
              <w:jc w:val="both"/>
              <w:rPr>
                <w:rFonts w:asciiTheme="minorHAnsi" w:hAnsiTheme="minorHAnsi" w:cstheme="minorHAnsi"/>
                <w:spacing w:val="-4"/>
                <w:sz w:val="22"/>
                <w:szCs w:val="22"/>
              </w:rPr>
            </w:pPr>
          </w:p>
          <w:p w14:paraId="79BA4A7B" w14:textId="0EC20284" w:rsidR="00F15323" w:rsidRPr="008E7A67" w:rsidRDefault="00F15323" w:rsidP="008E7A67">
            <w:pPr>
              <w:pStyle w:val="Standard"/>
              <w:spacing w:after="0" w:line="240" w:lineRule="auto"/>
              <w:jc w:val="both"/>
              <w:rPr>
                <w:rFonts w:asciiTheme="minorHAnsi" w:hAnsiTheme="minorHAnsi" w:cstheme="minorHAnsi"/>
                <w:spacing w:val="-4"/>
                <w:sz w:val="22"/>
                <w:szCs w:val="22"/>
              </w:rPr>
            </w:pPr>
            <w:r>
              <w:rPr>
                <w:rFonts w:asciiTheme="minorHAnsi" w:hAnsiTheme="minorHAnsi" w:cstheme="minorHAnsi"/>
                <w:spacing w:val="-4"/>
                <w:sz w:val="22"/>
                <w:szCs w:val="22"/>
              </w:rPr>
              <w:t>Ning m</w:t>
            </w:r>
            <w:r w:rsidRPr="008E7A67">
              <w:rPr>
                <w:rFonts w:asciiTheme="minorHAnsi" w:hAnsiTheme="minorHAnsi" w:cstheme="minorHAnsi"/>
                <w:spacing w:val="-4"/>
                <w:sz w:val="22"/>
                <w:szCs w:val="22"/>
              </w:rPr>
              <w:t>uuta jäätmeseaduse § 79 ja sõnastada see järgmiselt: „Käesoleva seaduse § 77 lõikes 2 nimetatud valla- või linnavalitsus kooskõlastab või jätab jäätmeloa taotluse kooskõlastamata kümne tööpäeva jooksul selle saamisest arvates.“</w:t>
            </w:r>
          </w:p>
          <w:p w14:paraId="173F106A" w14:textId="77777777" w:rsidR="008E7A67" w:rsidRPr="008E7A67" w:rsidRDefault="008E7A67" w:rsidP="008E7A67">
            <w:pPr>
              <w:spacing w:after="0" w:line="240" w:lineRule="auto"/>
              <w:jc w:val="both"/>
              <w:rPr>
                <w:rFonts w:asciiTheme="minorHAnsi" w:eastAsia="Times New Roman" w:hAnsiTheme="minorHAnsi" w:cstheme="minorHAnsi"/>
                <w:b/>
                <w:lang w:eastAsia="et-EE"/>
              </w:rPr>
            </w:pPr>
          </w:p>
        </w:tc>
        <w:tc>
          <w:tcPr>
            <w:tcW w:w="4520" w:type="dxa"/>
          </w:tcPr>
          <w:p w14:paraId="696560E3" w14:textId="77777777" w:rsidR="008E7A67" w:rsidRPr="008E7A67" w:rsidRDefault="008E7A67" w:rsidP="008E7A67">
            <w:pPr>
              <w:spacing w:after="0" w:line="240" w:lineRule="auto"/>
              <w:jc w:val="both"/>
              <w:rPr>
                <w:rFonts w:asciiTheme="minorHAnsi" w:eastAsia="Times New Roman" w:hAnsiTheme="minorHAnsi" w:cstheme="minorHAnsi"/>
                <w:lang w:eastAsia="et-EE"/>
              </w:rPr>
            </w:pPr>
            <w:r w:rsidRPr="008E7A67">
              <w:rPr>
                <w:rFonts w:asciiTheme="minorHAnsi" w:hAnsiTheme="minorHAnsi" w:cstheme="minorHAnsi"/>
                <w:spacing w:val="-4"/>
              </w:rPr>
              <w:t>Muudatusega asendatakse jäätmeseadu</w:t>
            </w:r>
            <w:bookmarkStart w:id="0" w:name="_GoBack"/>
            <w:bookmarkEnd w:id="0"/>
            <w:r w:rsidRPr="008E7A67">
              <w:rPr>
                <w:rFonts w:asciiTheme="minorHAnsi" w:hAnsiTheme="minorHAnsi" w:cstheme="minorHAnsi"/>
                <w:spacing w:val="-4"/>
              </w:rPr>
              <w:t>se § 77 lõikes 2 mõisted „arvamuse saamiseks“ mõistega „kooskõlastamiseks“. Muudatuse eesmärk on vältida riigi Keskkonnaameti poolt jäätmelubade väljastamist ilma kohaliku omavalitsuse kooskõlastuseta. Praeguse sätte sõnastuse kohaselt küsib Keskkonnaamet linna- või vallavalitsuse arvamust jäätmeloa taotluse kohta, kuid riigi Keskkonnaametil puudub kohustus arvestada linna- või vallavalitsuse arvamusega jäätmeloa väljastamisel.</w:t>
            </w:r>
          </w:p>
        </w:tc>
      </w:tr>
      <w:tr w:rsidR="00F15323" w:rsidRPr="008E7A67" w14:paraId="449A3B1B" w14:textId="77777777" w:rsidTr="00F408B4">
        <w:tc>
          <w:tcPr>
            <w:tcW w:w="4496" w:type="dxa"/>
          </w:tcPr>
          <w:p w14:paraId="12F8AC51" w14:textId="77777777" w:rsidR="00DB2136" w:rsidRDefault="00F15323" w:rsidP="00DB2136">
            <w:pPr>
              <w:pStyle w:val="Vahedeta"/>
              <w:jc w:val="both"/>
              <w:rPr>
                <w:rFonts w:cstheme="minorHAnsi"/>
                <w:b/>
                <w:color w:val="000000" w:themeColor="text1"/>
              </w:rPr>
            </w:pPr>
            <w:r w:rsidRPr="00757FBE">
              <w:rPr>
                <w:rFonts w:cstheme="minorHAnsi"/>
                <w:b/>
                <w:color w:val="000000" w:themeColor="text1"/>
              </w:rPr>
              <w:t>Ettepanek 1</w:t>
            </w:r>
            <w:r w:rsidR="009938A6">
              <w:rPr>
                <w:rFonts w:cstheme="minorHAnsi"/>
                <w:b/>
                <w:color w:val="000000" w:themeColor="text1"/>
              </w:rPr>
              <w:t>4</w:t>
            </w:r>
          </w:p>
          <w:p w14:paraId="53EE7735" w14:textId="1EA74B18" w:rsidR="00F15323" w:rsidRPr="00DB2136" w:rsidRDefault="00F15323" w:rsidP="00DB2136">
            <w:pPr>
              <w:pStyle w:val="Vahedeta"/>
              <w:jc w:val="both"/>
              <w:rPr>
                <w:rFonts w:cstheme="minorHAnsi"/>
                <w:b/>
                <w:color w:val="000000" w:themeColor="text1"/>
              </w:rPr>
            </w:pPr>
            <w:r w:rsidRPr="00757FBE">
              <w:rPr>
                <w:rFonts w:ascii="Times New Roman" w:hAnsi="Times New Roman"/>
                <w:sz w:val="24"/>
                <w:szCs w:val="24"/>
              </w:rPr>
              <w:t xml:space="preserve">Leiame, et pakendiorganisatsioonil tuleks kogumiskohta paigutada </w:t>
            </w:r>
            <w:proofErr w:type="spellStart"/>
            <w:r w:rsidRPr="00757FBE">
              <w:rPr>
                <w:rFonts w:ascii="Times New Roman" w:hAnsi="Times New Roman"/>
                <w:sz w:val="24"/>
                <w:szCs w:val="24"/>
              </w:rPr>
              <w:t>paberi-</w:t>
            </w:r>
            <w:proofErr w:type="spellEnd"/>
            <w:r w:rsidRPr="00757FBE">
              <w:rPr>
                <w:rFonts w:ascii="Times New Roman" w:hAnsi="Times New Roman"/>
                <w:sz w:val="24"/>
                <w:szCs w:val="24"/>
              </w:rPr>
              <w:t xml:space="preserve"> ja kartongpakendi liigiti kogumiseks sinine mahuti ning </w:t>
            </w:r>
            <w:proofErr w:type="spellStart"/>
            <w:r w:rsidRPr="00757FBE">
              <w:rPr>
                <w:rFonts w:ascii="Times New Roman" w:hAnsi="Times New Roman"/>
                <w:sz w:val="24"/>
                <w:szCs w:val="24"/>
              </w:rPr>
              <w:t>segapakendi</w:t>
            </w:r>
            <w:proofErr w:type="spellEnd"/>
            <w:r w:rsidRPr="00757FBE">
              <w:rPr>
                <w:rFonts w:ascii="Times New Roman" w:hAnsi="Times New Roman"/>
                <w:sz w:val="24"/>
                <w:szCs w:val="24"/>
              </w:rPr>
              <w:t xml:space="preserve"> kogumiseks kollane mahuti. Olmejäätmete mahuti peaks olema hall või must ning </w:t>
            </w:r>
            <w:proofErr w:type="spellStart"/>
            <w:r w:rsidRPr="00757FBE">
              <w:rPr>
                <w:rFonts w:ascii="Times New Roman" w:hAnsi="Times New Roman"/>
                <w:sz w:val="24"/>
                <w:szCs w:val="24"/>
              </w:rPr>
              <w:t>biojäätmete</w:t>
            </w:r>
            <w:proofErr w:type="spellEnd"/>
            <w:r w:rsidRPr="00757FBE">
              <w:rPr>
                <w:rFonts w:ascii="Times New Roman" w:hAnsi="Times New Roman"/>
                <w:sz w:val="24"/>
                <w:szCs w:val="24"/>
              </w:rPr>
              <w:t xml:space="preserve"> oma pruun. Samuti leiame, et tuleks ühtlustada kogu sümbolite ning juhiste süsteem</w:t>
            </w:r>
          </w:p>
        </w:tc>
        <w:tc>
          <w:tcPr>
            <w:tcW w:w="4520" w:type="dxa"/>
          </w:tcPr>
          <w:p w14:paraId="7E600484" w14:textId="72B394A1" w:rsidR="00F15323" w:rsidRPr="008E7A67" w:rsidRDefault="00DB2136" w:rsidP="00F15323">
            <w:pPr>
              <w:spacing w:after="0" w:line="240" w:lineRule="auto"/>
              <w:jc w:val="both"/>
              <w:rPr>
                <w:rFonts w:asciiTheme="minorHAnsi" w:hAnsiTheme="minorHAnsi" w:cstheme="minorHAnsi"/>
                <w:spacing w:val="-4"/>
              </w:rPr>
            </w:pPr>
            <w:r w:rsidRPr="00757FBE">
              <w:rPr>
                <w:rFonts w:ascii="Times New Roman" w:hAnsi="Times New Roman"/>
                <w:sz w:val="24"/>
                <w:szCs w:val="24"/>
              </w:rPr>
              <w:t xml:space="preserve">Kehtivas õiguses ei ole sätestatud nõudeid ei tagatisrahata pakendi eriliigiliste pakendijäätmete kogumise mahutite ega olmejäätmete ja </w:t>
            </w:r>
            <w:proofErr w:type="spellStart"/>
            <w:r w:rsidRPr="00757FBE">
              <w:rPr>
                <w:rFonts w:ascii="Times New Roman" w:hAnsi="Times New Roman"/>
                <w:sz w:val="24"/>
                <w:szCs w:val="24"/>
              </w:rPr>
              <w:t>biojäätmete</w:t>
            </w:r>
            <w:proofErr w:type="spellEnd"/>
            <w:r w:rsidRPr="00757FBE">
              <w:rPr>
                <w:rFonts w:ascii="Times New Roman" w:hAnsi="Times New Roman"/>
                <w:sz w:val="24"/>
                <w:szCs w:val="24"/>
              </w:rPr>
              <w:t xml:space="preserve"> kogumismahutite värvile</w:t>
            </w:r>
          </w:p>
        </w:tc>
      </w:tr>
      <w:tr w:rsidR="00F15323" w:rsidRPr="008E7A67" w14:paraId="39F34028" w14:textId="77777777" w:rsidTr="007D417D">
        <w:tc>
          <w:tcPr>
            <w:tcW w:w="4496" w:type="dxa"/>
            <w:tcBorders>
              <w:top w:val="nil"/>
              <w:left w:val="single" w:sz="8" w:space="0" w:color="auto"/>
              <w:bottom w:val="single" w:sz="8" w:space="0" w:color="auto"/>
              <w:right w:val="single" w:sz="8" w:space="0" w:color="auto"/>
            </w:tcBorders>
          </w:tcPr>
          <w:p w14:paraId="1C61A599" w14:textId="09D70B61" w:rsidR="00F15323" w:rsidRPr="00757FBE" w:rsidRDefault="00F15323" w:rsidP="00F15323">
            <w:pPr>
              <w:pStyle w:val="Vahedeta"/>
              <w:jc w:val="both"/>
              <w:rPr>
                <w:rFonts w:cstheme="minorHAnsi"/>
                <w:b/>
                <w:color w:val="000000" w:themeColor="text1"/>
              </w:rPr>
            </w:pPr>
            <w:r w:rsidRPr="00757FBE">
              <w:rPr>
                <w:rFonts w:cstheme="minorHAnsi"/>
                <w:b/>
                <w:color w:val="000000" w:themeColor="text1"/>
              </w:rPr>
              <w:t>Ettepanek nr 1</w:t>
            </w:r>
            <w:r w:rsidR="009938A6">
              <w:rPr>
                <w:rFonts w:cstheme="minorHAnsi"/>
                <w:b/>
                <w:color w:val="000000" w:themeColor="text1"/>
              </w:rPr>
              <w:t>5</w:t>
            </w:r>
          </w:p>
          <w:p w14:paraId="3AEE66F5" w14:textId="691AB20D" w:rsidR="00F15323" w:rsidRPr="006801E9" w:rsidRDefault="00F15323" w:rsidP="00F15323">
            <w:pPr>
              <w:pStyle w:val="Vahedeta"/>
              <w:jc w:val="both"/>
              <w:rPr>
                <w:rFonts w:cstheme="minorHAnsi"/>
                <w:b/>
                <w:color w:val="000000" w:themeColor="text1"/>
                <w:highlight w:val="red"/>
              </w:rPr>
            </w:pPr>
            <w:r w:rsidRPr="0049413E">
              <w:rPr>
                <w:rFonts w:ascii="Times New Roman" w:hAnsi="Times New Roman" w:cs="Times New Roman"/>
                <w:sz w:val="24"/>
                <w:szCs w:val="24"/>
              </w:rPr>
              <w:t>Muuta pakendiseadust</w:t>
            </w:r>
            <w:r>
              <w:rPr>
                <w:rFonts w:ascii="Times New Roman" w:hAnsi="Times New Roman" w:cs="Times New Roman"/>
                <w:sz w:val="24"/>
                <w:szCs w:val="24"/>
              </w:rPr>
              <w:t xml:space="preserve"> selliselt, et pakendiettevõtjal oleks lubatud pakendijäätmete kogumise ja taaskasutamise kohustus üle anda kohaliku omavalitsuse üksusele.</w:t>
            </w:r>
          </w:p>
        </w:tc>
        <w:tc>
          <w:tcPr>
            <w:tcW w:w="4520" w:type="dxa"/>
            <w:tcBorders>
              <w:top w:val="nil"/>
              <w:left w:val="nil"/>
              <w:bottom w:val="single" w:sz="8" w:space="0" w:color="auto"/>
              <w:right w:val="single" w:sz="8" w:space="0" w:color="auto"/>
            </w:tcBorders>
          </w:tcPr>
          <w:p w14:paraId="66F0AB94" w14:textId="313DBF07" w:rsidR="00F15323" w:rsidRPr="008E7A67" w:rsidRDefault="00420061" w:rsidP="00F15323">
            <w:pPr>
              <w:spacing w:after="0" w:line="240" w:lineRule="auto"/>
              <w:jc w:val="both"/>
              <w:rPr>
                <w:rFonts w:asciiTheme="minorHAnsi" w:hAnsiTheme="minorHAnsi" w:cstheme="minorHAnsi"/>
                <w:spacing w:val="-4"/>
              </w:rPr>
            </w:pPr>
            <w:r>
              <w:rPr>
                <w:rFonts w:ascii="Times New Roman" w:hAnsi="Times New Roman"/>
                <w:sz w:val="24"/>
                <w:szCs w:val="24"/>
              </w:rPr>
              <w:t xml:space="preserve">Kohalikud omavalitsused </w:t>
            </w:r>
            <w:r w:rsidR="00A44A3E">
              <w:rPr>
                <w:rFonts w:ascii="Times New Roman" w:hAnsi="Times New Roman"/>
                <w:sz w:val="24"/>
                <w:szCs w:val="24"/>
              </w:rPr>
              <w:t>soovivad</w:t>
            </w:r>
            <w:r w:rsidR="00F15323">
              <w:rPr>
                <w:rFonts w:ascii="Times New Roman" w:hAnsi="Times New Roman"/>
                <w:sz w:val="24"/>
                <w:szCs w:val="24"/>
              </w:rPr>
              <w:t xml:space="preserve"> korraldatud jäätmeveoga hõlmata ka pakendijäätmed, kuivõrd tegemist on ühe suurima jäätmeliigiga, mis jäätmevaldajatel tekib. Samas pakendiseaduse § 16 lg 2 kohaselt võib pakendiettevõtja turule lastud kauba pakendist tekkinud pakendijäätmete kogumise ja taaskasutamise kohustuse üle anda ainult taaskasutusorganisatsioonile. Seega pakendiettevõtjatel tekkivaid pakendijäätmeid ei saaks kohaliku omavalitsuse üksus korraldatud jäätmeveoga hõlmata. Samuti ei ole mõistlik, et pakendijäätmeid hakkaks koguma ja taaskasutama üheaegselt nii taaskasutusorganisatsioon kui ka kohaliku omavalitsuse üksus.</w:t>
            </w:r>
          </w:p>
        </w:tc>
      </w:tr>
      <w:tr w:rsidR="00F15323" w:rsidRPr="008E7A67" w14:paraId="673E6C87" w14:textId="77777777" w:rsidTr="007D417D">
        <w:tc>
          <w:tcPr>
            <w:tcW w:w="4496" w:type="dxa"/>
            <w:tcBorders>
              <w:top w:val="nil"/>
              <w:left w:val="single" w:sz="8" w:space="0" w:color="auto"/>
              <w:bottom w:val="single" w:sz="8" w:space="0" w:color="auto"/>
              <w:right w:val="single" w:sz="8" w:space="0" w:color="auto"/>
            </w:tcBorders>
          </w:tcPr>
          <w:p w14:paraId="53DE32C4" w14:textId="31CEC2F0" w:rsidR="00F15323" w:rsidRPr="00A44A3E" w:rsidRDefault="00F15323" w:rsidP="00A44A3E">
            <w:pPr>
              <w:pStyle w:val="Vahedeta"/>
              <w:jc w:val="both"/>
              <w:rPr>
                <w:rFonts w:cstheme="minorHAnsi"/>
                <w:b/>
                <w:color w:val="000000" w:themeColor="text1"/>
              </w:rPr>
            </w:pPr>
            <w:r w:rsidRPr="00A44A3E">
              <w:rPr>
                <w:rFonts w:cstheme="minorHAnsi"/>
                <w:b/>
                <w:color w:val="000000" w:themeColor="text1"/>
              </w:rPr>
              <w:lastRenderedPageBreak/>
              <w:t>Ettepanek 1</w:t>
            </w:r>
            <w:r w:rsidR="009938A6">
              <w:rPr>
                <w:rFonts w:cstheme="minorHAnsi"/>
                <w:b/>
                <w:color w:val="000000" w:themeColor="text1"/>
              </w:rPr>
              <w:t>6</w:t>
            </w:r>
          </w:p>
          <w:p w14:paraId="0E4E76AD" w14:textId="77777777" w:rsidR="00F15323" w:rsidRPr="00A44A3E" w:rsidRDefault="00F15323" w:rsidP="00A44A3E">
            <w:pPr>
              <w:spacing w:after="0" w:line="240" w:lineRule="auto"/>
              <w:jc w:val="both"/>
              <w:rPr>
                <w:rFonts w:ascii="Times New Roman" w:hAnsi="Times New Roman"/>
                <w:sz w:val="24"/>
                <w:szCs w:val="24"/>
              </w:rPr>
            </w:pPr>
            <w:r w:rsidRPr="00A44A3E">
              <w:rPr>
                <w:rFonts w:ascii="Times New Roman" w:hAnsi="Times New Roman"/>
                <w:sz w:val="24"/>
                <w:szCs w:val="24"/>
              </w:rPr>
              <w:t>Tegeleda purgimise ning kohtkäitluse temaatikaga ning leida vee-ettevõtjatele, kohalikele omavalitsustele ja keskkonnainspektsioonile sobivaim lahendus</w:t>
            </w:r>
          </w:p>
          <w:p w14:paraId="732B8CC8" w14:textId="77777777" w:rsidR="00F15323" w:rsidRPr="00A44A3E" w:rsidRDefault="00F15323" w:rsidP="00A44A3E">
            <w:pPr>
              <w:spacing w:after="0" w:line="240" w:lineRule="auto"/>
              <w:jc w:val="both"/>
              <w:rPr>
                <w:rFonts w:ascii="Times New Roman" w:hAnsi="Times New Roman"/>
                <w:sz w:val="24"/>
                <w:szCs w:val="24"/>
              </w:rPr>
            </w:pPr>
          </w:p>
          <w:p w14:paraId="59818602" w14:textId="77777777" w:rsidR="001D6A99" w:rsidRPr="00A44A3E" w:rsidRDefault="001D6A99" w:rsidP="001D6A99">
            <w:pPr>
              <w:spacing w:after="0" w:line="240" w:lineRule="auto"/>
              <w:jc w:val="both"/>
              <w:rPr>
                <w:rFonts w:ascii="Times New Roman" w:hAnsi="Times New Roman"/>
                <w:sz w:val="24"/>
                <w:szCs w:val="24"/>
              </w:rPr>
            </w:pPr>
            <w:r w:rsidRPr="00A44A3E">
              <w:rPr>
                <w:rFonts w:ascii="Times New Roman" w:hAnsi="Times New Roman"/>
                <w:sz w:val="24"/>
                <w:szCs w:val="24"/>
              </w:rPr>
              <w:t>Ettepanek tagasiside andmise võimekuse loomise hõlbustamise kohta</w:t>
            </w:r>
          </w:p>
          <w:p w14:paraId="58FEF216" w14:textId="77777777" w:rsidR="001D6A99" w:rsidRPr="00A44A3E" w:rsidRDefault="001D6A99" w:rsidP="001D6A99">
            <w:pPr>
              <w:spacing w:after="0" w:line="240" w:lineRule="auto"/>
              <w:jc w:val="both"/>
              <w:rPr>
                <w:rFonts w:ascii="Times New Roman" w:hAnsi="Times New Roman"/>
                <w:sz w:val="24"/>
                <w:szCs w:val="24"/>
              </w:rPr>
            </w:pPr>
          </w:p>
          <w:p w14:paraId="2F910A4B" w14:textId="479A1D65" w:rsidR="00F15323" w:rsidRPr="00A44A3E" w:rsidRDefault="001D6A99" w:rsidP="001D6A99">
            <w:pPr>
              <w:spacing w:after="0" w:line="240" w:lineRule="auto"/>
              <w:jc w:val="both"/>
              <w:rPr>
                <w:rFonts w:ascii="Times New Roman" w:hAnsi="Times New Roman"/>
                <w:sz w:val="24"/>
                <w:szCs w:val="24"/>
              </w:rPr>
            </w:pPr>
            <w:r w:rsidRPr="00A44A3E">
              <w:rPr>
                <w:rFonts w:ascii="Times New Roman" w:hAnsi="Times New Roman"/>
                <w:sz w:val="24"/>
                <w:szCs w:val="24"/>
              </w:rPr>
              <w:t xml:space="preserve">Teiseks on vajalik reovee vedajate registrit, KOV tunnustust või mõnda muud lahendust </w:t>
            </w:r>
            <w:proofErr w:type="spellStart"/>
            <w:r w:rsidRPr="00A44A3E">
              <w:rPr>
                <w:rFonts w:ascii="Times New Roman" w:hAnsi="Times New Roman"/>
                <w:sz w:val="24"/>
                <w:szCs w:val="24"/>
              </w:rPr>
              <w:t>purgimisteenuse</w:t>
            </w:r>
            <w:proofErr w:type="spellEnd"/>
            <w:r w:rsidRPr="00A44A3E">
              <w:rPr>
                <w:rFonts w:ascii="Times New Roman" w:hAnsi="Times New Roman"/>
                <w:sz w:val="24"/>
                <w:szCs w:val="24"/>
              </w:rPr>
              <w:t xml:space="preserve"> kontrollimiseks.</w:t>
            </w:r>
          </w:p>
        </w:tc>
        <w:tc>
          <w:tcPr>
            <w:tcW w:w="4520" w:type="dxa"/>
            <w:tcBorders>
              <w:top w:val="nil"/>
              <w:left w:val="nil"/>
              <w:bottom w:val="single" w:sz="8" w:space="0" w:color="auto"/>
              <w:right w:val="single" w:sz="8" w:space="0" w:color="auto"/>
            </w:tcBorders>
          </w:tcPr>
          <w:p w14:paraId="68C4CEDD" w14:textId="587D49B5" w:rsidR="001D6A99" w:rsidRDefault="00F15323" w:rsidP="001D6A99">
            <w:pPr>
              <w:spacing w:after="0" w:line="240" w:lineRule="auto"/>
              <w:jc w:val="both"/>
              <w:rPr>
                <w:rFonts w:ascii="Times New Roman" w:hAnsi="Times New Roman"/>
                <w:sz w:val="24"/>
                <w:szCs w:val="24"/>
              </w:rPr>
            </w:pPr>
            <w:r w:rsidRPr="00A44A3E">
              <w:rPr>
                <w:rFonts w:ascii="Times New Roman" w:hAnsi="Times New Roman"/>
                <w:sz w:val="24"/>
                <w:szCs w:val="24"/>
              </w:rPr>
              <w:t xml:space="preserve">Korra aastas omavalitsusele aruande esitamine ei ole vee-ettevõtte jaoks info, millega midagi peale oleks hakata, kuna selle põhjal ei ole võimalik tuvastada negatiivset mõju puhasti tööle. </w:t>
            </w:r>
          </w:p>
          <w:p w14:paraId="6A44AA19" w14:textId="433DF7FD" w:rsidR="00F15323" w:rsidRDefault="00F15323" w:rsidP="00A44A3E">
            <w:pPr>
              <w:spacing w:after="0" w:line="240" w:lineRule="auto"/>
              <w:jc w:val="both"/>
              <w:rPr>
                <w:rFonts w:ascii="Times New Roman" w:hAnsi="Times New Roman"/>
                <w:sz w:val="24"/>
                <w:szCs w:val="24"/>
              </w:rPr>
            </w:pPr>
          </w:p>
        </w:tc>
      </w:tr>
      <w:tr w:rsidR="00F15323" w:rsidRPr="008E7A67" w14:paraId="24133715" w14:textId="77777777" w:rsidTr="00174AC3">
        <w:tc>
          <w:tcPr>
            <w:tcW w:w="4496" w:type="dxa"/>
          </w:tcPr>
          <w:p w14:paraId="50C473A3" w14:textId="36831E32" w:rsidR="00F15323" w:rsidRPr="00757FBE" w:rsidRDefault="00F15323" w:rsidP="00F15323">
            <w:pPr>
              <w:pStyle w:val="Vahedeta"/>
              <w:jc w:val="both"/>
              <w:rPr>
                <w:rFonts w:cstheme="minorHAnsi"/>
                <w:b/>
                <w:color w:val="000000" w:themeColor="text1"/>
              </w:rPr>
            </w:pPr>
            <w:r w:rsidRPr="00757FBE">
              <w:rPr>
                <w:rFonts w:cstheme="minorHAnsi"/>
                <w:b/>
                <w:color w:val="000000" w:themeColor="text1"/>
              </w:rPr>
              <w:t xml:space="preserve">Ettepanek nr </w:t>
            </w:r>
            <w:r w:rsidR="00B43CAE">
              <w:rPr>
                <w:rFonts w:cstheme="minorHAnsi"/>
                <w:b/>
                <w:color w:val="000000" w:themeColor="text1"/>
              </w:rPr>
              <w:t>1</w:t>
            </w:r>
            <w:r w:rsidR="009938A6">
              <w:rPr>
                <w:rFonts w:cstheme="minorHAnsi"/>
                <w:b/>
                <w:color w:val="000000" w:themeColor="text1"/>
              </w:rPr>
              <w:t>7</w:t>
            </w:r>
          </w:p>
          <w:p w14:paraId="6F311A94" w14:textId="367B6B58" w:rsidR="00F15323" w:rsidRPr="00A0106F" w:rsidRDefault="00F15323" w:rsidP="00F15323">
            <w:pPr>
              <w:spacing w:after="120" w:line="240" w:lineRule="auto"/>
              <w:rPr>
                <w:rFonts w:ascii="Times New Roman" w:hAnsi="Times New Roman"/>
                <w:sz w:val="24"/>
                <w:szCs w:val="24"/>
                <w:u w:val="single"/>
              </w:rPr>
            </w:pPr>
            <w:r w:rsidRPr="00A0106F">
              <w:rPr>
                <w:rFonts w:ascii="Times New Roman" w:eastAsia="Times New Roman" w:hAnsi="Times New Roman"/>
                <w:spacing w:val="-4"/>
                <w:sz w:val="24"/>
                <w:szCs w:val="24"/>
              </w:rPr>
              <w:t>Eraldada vahendeid kohaliku omavalitsusüksuste (</w:t>
            </w:r>
            <w:proofErr w:type="spellStart"/>
            <w:r w:rsidRPr="00A0106F">
              <w:rPr>
                <w:rFonts w:ascii="Times New Roman" w:eastAsia="Times New Roman" w:hAnsi="Times New Roman"/>
                <w:spacing w:val="-4"/>
                <w:sz w:val="24"/>
                <w:szCs w:val="24"/>
              </w:rPr>
              <w:t>KOVde</w:t>
            </w:r>
            <w:proofErr w:type="spellEnd"/>
            <w:r w:rsidRPr="00A0106F">
              <w:rPr>
                <w:rFonts w:ascii="Times New Roman" w:eastAsia="Times New Roman" w:hAnsi="Times New Roman"/>
                <w:spacing w:val="-4"/>
                <w:sz w:val="24"/>
                <w:szCs w:val="24"/>
              </w:rPr>
              <w:t xml:space="preserve">) omanduses olevate kuid üleriigiliste funktsioonidega looduskaitse või muinsuskaitse all olevate keskkonnaobjektide arendamiseks </w:t>
            </w:r>
          </w:p>
        </w:tc>
        <w:tc>
          <w:tcPr>
            <w:tcW w:w="4520" w:type="dxa"/>
          </w:tcPr>
          <w:p w14:paraId="426B2830" w14:textId="37B75A0D" w:rsidR="00F15323" w:rsidRPr="00A0106F" w:rsidRDefault="00F15323" w:rsidP="00F15323">
            <w:pPr>
              <w:jc w:val="both"/>
              <w:rPr>
                <w:rFonts w:ascii="Times New Roman" w:eastAsia="Times New Roman" w:hAnsi="Times New Roman"/>
                <w:spacing w:val="-4"/>
                <w:sz w:val="24"/>
                <w:szCs w:val="24"/>
              </w:rPr>
            </w:pPr>
            <w:r w:rsidRPr="00A0106F">
              <w:rPr>
                <w:rFonts w:ascii="Times New Roman" w:eastAsia="Times New Roman" w:hAnsi="Times New Roman"/>
                <w:spacing w:val="-4"/>
                <w:sz w:val="24"/>
                <w:szCs w:val="24"/>
              </w:rPr>
              <w:t xml:space="preserve">Arvestades asutuste riiklikku tähtsust on hädavajalik riigipoolne suurem toetus, et tagada </w:t>
            </w:r>
            <w:r w:rsidR="00B57040">
              <w:rPr>
                <w:rFonts w:ascii="Times New Roman" w:eastAsia="Times New Roman" w:hAnsi="Times New Roman"/>
                <w:spacing w:val="-4"/>
                <w:sz w:val="24"/>
                <w:szCs w:val="24"/>
              </w:rPr>
              <w:t xml:space="preserve">erinevate </w:t>
            </w:r>
            <w:r w:rsidR="003D70A9">
              <w:rPr>
                <w:rFonts w:ascii="Times New Roman" w:eastAsia="Times New Roman" w:hAnsi="Times New Roman"/>
                <w:spacing w:val="-4"/>
                <w:sz w:val="24"/>
                <w:szCs w:val="24"/>
              </w:rPr>
              <w:t>üleriigilise funktsiooniga</w:t>
            </w:r>
            <w:r w:rsidR="00B57040">
              <w:rPr>
                <w:rFonts w:ascii="Times New Roman" w:eastAsia="Times New Roman" w:hAnsi="Times New Roman"/>
                <w:spacing w:val="-4"/>
                <w:sz w:val="24"/>
                <w:szCs w:val="24"/>
              </w:rPr>
              <w:t xml:space="preserve"> </w:t>
            </w:r>
            <w:r w:rsidRPr="00A0106F">
              <w:rPr>
                <w:rFonts w:ascii="Times New Roman" w:eastAsia="Times New Roman" w:hAnsi="Times New Roman"/>
                <w:spacing w:val="-4"/>
                <w:sz w:val="24"/>
                <w:szCs w:val="24"/>
              </w:rPr>
              <w:t xml:space="preserve">asutuste areng. </w:t>
            </w:r>
            <w:r w:rsidR="003D70A9">
              <w:rPr>
                <w:rFonts w:ascii="Times New Roman" w:eastAsia="Times New Roman" w:hAnsi="Times New Roman"/>
                <w:spacing w:val="-4"/>
                <w:sz w:val="24"/>
                <w:szCs w:val="24"/>
              </w:rPr>
              <w:t xml:space="preserve">Näiteks </w:t>
            </w:r>
            <w:r w:rsidRPr="00A0106F">
              <w:rPr>
                <w:rFonts w:ascii="Times New Roman" w:eastAsia="Times New Roman" w:hAnsi="Times New Roman"/>
                <w:spacing w:val="-4"/>
                <w:sz w:val="24"/>
                <w:szCs w:val="24"/>
              </w:rPr>
              <w:t xml:space="preserve">Kadrioru park, Tallinna Loomaaed, </w:t>
            </w:r>
            <w:r w:rsidR="003D5134">
              <w:rPr>
                <w:rFonts w:ascii="Times New Roman" w:eastAsia="Times New Roman" w:hAnsi="Times New Roman"/>
                <w:spacing w:val="-4"/>
                <w:sz w:val="24"/>
                <w:szCs w:val="24"/>
              </w:rPr>
              <w:t>b</w:t>
            </w:r>
            <w:r w:rsidRPr="00A0106F">
              <w:rPr>
                <w:rFonts w:ascii="Times New Roman" w:eastAsia="Times New Roman" w:hAnsi="Times New Roman"/>
                <w:spacing w:val="-4"/>
                <w:sz w:val="24"/>
                <w:szCs w:val="24"/>
              </w:rPr>
              <w:t>otaanika</w:t>
            </w:r>
            <w:r w:rsidR="003D5134">
              <w:rPr>
                <w:rFonts w:ascii="Times New Roman" w:eastAsia="Times New Roman" w:hAnsi="Times New Roman"/>
                <w:spacing w:val="-4"/>
                <w:sz w:val="24"/>
                <w:szCs w:val="24"/>
              </w:rPr>
              <w:t>aiad</w:t>
            </w:r>
            <w:r w:rsidR="003D70A9">
              <w:rPr>
                <w:rFonts w:ascii="Times New Roman" w:eastAsia="Times New Roman" w:hAnsi="Times New Roman"/>
                <w:spacing w:val="-4"/>
                <w:sz w:val="24"/>
                <w:szCs w:val="24"/>
              </w:rPr>
              <w:t>.</w:t>
            </w:r>
            <w:r w:rsidRPr="00A0106F">
              <w:rPr>
                <w:rFonts w:ascii="Times New Roman" w:eastAsia="Times New Roman" w:hAnsi="Times New Roman"/>
                <w:spacing w:val="-4"/>
                <w:sz w:val="24"/>
                <w:szCs w:val="24"/>
              </w:rPr>
              <w:t xml:space="preserve"> </w:t>
            </w:r>
            <w:r w:rsidR="003D70A9">
              <w:rPr>
                <w:rFonts w:ascii="Times New Roman" w:eastAsia="Times New Roman" w:hAnsi="Times New Roman"/>
                <w:spacing w:val="-4"/>
                <w:sz w:val="24"/>
                <w:szCs w:val="24"/>
              </w:rPr>
              <w:t>K</w:t>
            </w:r>
            <w:r w:rsidRPr="00A0106F">
              <w:rPr>
                <w:rFonts w:ascii="Times New Roman" w:eastAsia="Times New Roman" w:hAnsi="Times New Roman"/>
                <w:spacing w:val="-4"/>
                <w:sz w:val="24"/>
                <w:szCs w:val="24"/>
              </w:rPr>
              <w:t>almistuid</w:t>
            </w:r>
            <w:r w:rsidR="003D5134">
              <w:rPr>
                <w:rFonts w:ascii="Times New Roman" w:eastAsia="Times New Roman" w:hAnsi="Times New Roman"/>
                <w:spacing w:val="-4"/>
                <w:sz w:val="24"/>
                <w:szCs w:val="24"/>
              </w:rPr>
              <w:t xml:space="preserve">, kus asuvad mitmed </w:t>
            </w:r>
            <w:r w:rsidR="00DF0646">
              <w:rPr>
                <w:rFonts w:ascii="Times New Roman" w:eastAsia="Times New Roman" w:hAnsi="Times New Roman"/>
                <w:spacing w:val="-4"/>
                <w:sz w:val="24"/>
                <w:szCs w:val="24"/>
              </w:rPr>
              <w:t>arhitektuurimälestised, mida on õige säilitada,</w:t>
            </w:r>
            <w:r w:rsidRPr="00A0106F">
              <w:rPr>
                <w:rFonts w:ascii="Times New Roman" w:eastAsia="Times New Roman" w:hAnsi="Times New Roman"/>
                <w:spacing w:val="-4"/>
                <w:sz w:val="24"/>
                <w:szCs w:val="24"/>
              </w:rPr>
              <w:t xml:space="preserve"> ei külasta </w:t>
            </w:r>
            <w:r w:rsidR="003D5134">
              <w:rPr>
                <w:rFonts w:ascii="Times New Roman" w:eastAsia="Times New Roman" w:hAnsi="Times New Roman"/>
                <w:spacing w:val="-4"/>
                <w:sz w:val="24"/>
                <w:szCs w:val="24"/>
              </w:rPr>
              <w:t xml:space="preserve">samuti </w:t>
            </w:r>
            <w:r w:rsidRPr="00A0106F">
              <w:rPr>
                <w:rFonts w:ascii="Times New Roman" w:eastAsia="Times New Roman" w:hAnsi="Times New Roman"/>
                <w:spacing w:val="-4"/>
                <w:sz w:val="24"/>
                <w:szCs w:val="24"/>
              </w:rPr>
              <w:t xml:space="preserve">pelgalt </w:t>
            </w:r>
            <w:r w:rsidR="003D70A9">
              <w:rPr>
                <w:rFonts w:ascii="Times New Roman" w:eastAsia="Times New Roman" w:hAnsi="Times New Roman"/>
                <w:spacing w:val="-4"/>
                <w:sz w:val="24"/>
                <w:szCs w:val="24"/>
              </w:rPr>
              <w:t xml:space="preserve">ainult </w:t>
            </w:r>
            <w:r w:rsidR="000E20FF">
              <w:rPr>
                <w:rFonts w:ascii="Times New Roman" w:eastAsia="Times New Roman" w:hAnsi="Times New Roman"/>
                <w:spacing w:val="-4"/>
                <w:sz w:val="24"/>
                <w:szCs w:val="24"/>
              </w:rPr>
              <w:t>omavalitsuse elanikud</w:t>
            </w:r>
            <w:r w:rsidRPr="00A0106F">
              <w:rPr>
                <w:rFonts w:ascii="Times New Roman" w:eastAsia="Times New Roman" w:hAnsi="Times New Roman"/>
                <w:spacing w:val="-4"/>
                <w:sz w:val="24"/>
                <w:szCs w:val="24"/>
              </w:rPr>
              <w:t xml:space="preserve">. </w:t>
            </w:r>
          </w:p>
          <w:p w14:paraId="49D5A477" w14:textId="43F07703" w:rsidR="00F15323" w:rsidRPr="00A0106F" w:rsidRDefault="00F15323" w:rsidP="00F15323">
            <w:pPr>
              <w:spacing w:after="120" w:line="240" w:lineRule="auto"/>
              <w:jc w:val="both"/>
              <w:rPr>
                <w:rFonts w:ascii="Times New Roman" w:hAnsi="Times New Roman"/>
                <w:sz w:val="24"/>
                <w:szCs w:val="24"/>
              </w:rPr>
            </w:pPr>
            <w:r w:rsidRPr="00A0106F">
              <w:rPr>
                <w:rFonts w:ascii="Times New Roman" w:hAnsi="Times New Roman"/>
                <w:spacing w:val="-4"/>
                <w:sz w:val="24"/>
                <w:szCs w:val="24"/>
              </w:rPr>
              <w:t xml:space="preserve">Investeeringute tegemisel antud objektidesse on vajalik lisada </w:t>
            </w:r>
            <w:r w:rsidR="00DF0646">
              <w:rPr>
                <w:rFonts w:ascii="Times New Roman" w:hAnsi="Times New Roman"/>
                <w:spacing w:val="-4"/>
                <w:sz w:val="24"/>
                <w:szCs w:val="24"/>
              </w:rPr>
              <w:t>omavalitsuse</w:t>
            </w:r>
            <w:r w:rsidRPr="00A0106F">
              <w:rPr>
                <w:rFonts w:ascii="Times New Roman" w:hAnsi="Times New Roman"/>
                <w:spacing w:val="-4"/>
                <w:sz w:val="24"/>
                <w:szCs w:val="24"/>
              </w:rPr>
              <w:t xml:space="preserve"> panusele teatud protsent riigieelarvest eraldatavaid vahendeid.</w:t>
            </w:r>
            <w:r w:rsidR="00A563E5">
              <w:rPr>
                <w:rFonts w:ascii="Times New Roman" w:hAnsi="Times New Roman"/>
                <w:spacing w:val="-4"/>
                <w:sz w:val="24"/>
                <w:szCs w:val="24"/>
              </w:rPr>
              <w:t xml:space="preserve"> </w:t>
            </w:r>
          </w:p>
        </w:tc>
      </w:tr>
    </w:tbl>
    <w:p w14:paraId="774C038D" w14:textId="77777777" w:rsidR="00123216" w:rsidRPr="008E7A67" w:rsidRDefault="00466BBD" w:rsidP="008E7A67">
      <w:pPr>
        <w:spacing w:after="0" w:line="240" w:lineRule="auto"/>
        <w:jc w:val="both"/>
        <w:rPr>
          <w:rFonts w:asciiTheme="minorHAnsi" w:hAnsiTheme="minorHAnsi" w:cstheme="minorHAnsi"/>
        </w:rPr>
      </w:pPr>
    </w:p>
    <w:p w14:paraId="3A3137AD" w14:textId="77777777" w:rsidR="008E7A67" w:rsidRPr="008E7A67" w:rsidRDefault="008E7A67" w:rsidP="008E7A67">
      <w:pPr>
        <w:spacing w:after="0" w:line="240" w:lineRule="auto"/>
        <w:jc w:val="both"/>
        <w:rPr>
          <w:rFonts w:asciiTheme="minorHAnsi" w:hAnsiTheme="minorHAnsi" w:cstheme="minorHAnsi"/>
        </w:rPr>
      </w:pPr>
    </w:p>
    <w:p w14:paraId="0D31C0A4" w14:textId="77777777" w:rsidR="008E7A67" w:rsidRPr="008E7A67" w:rsidRDefault="008E7A67" w:rsidP="008E7A67">
      <w:pPr>
        <w:spacing w:after="0" w:line="240" w:lineRule="auto"/>
        <w:jc w:val="both"/>
        <w:rPr>
          <w:rFonts w:asciiTheme="minorHAnsi" w:hAnsiTheme="minorHAnsi" w:cstheme="minorHAnsi"/>
        </w:rPr>
      </w:pPr>
    </w:p>
    <w:sectPr w:rsidR="008E7A67" w:rsidRPr="008E7A6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8C7A8" w14:textId="77777777" w:rsidR="003E7E8A" w:rsidRDefault="003E7E8A" w:rsidP="008E7A67">
      <w:pPr>
        <w:spacing w:after="0" w:line="240" w:lineRule="auto"/>
      </w:pPr>
      <w:r>
        <w:separator/>
      </w:r>
    </w:p>
  </w:endnote>
  <w:endnote w:type="continuationSeparator" w:id="0">
    <w:p w14:paraId="2915E8FA" w14:textId="77777777" w:rsidR="003E7E8A" w:rsidRDefault="003E7E8A" w:rsidP="008E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899328804"/>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08B1E30A" w14:textId="77777777" w:rsidR="00E420EC" w:rsidRPr="00E420EC" w:rsidRDefault="00E420EC">
            <w:pPr>
              <w:pStyle w:val="Jalus"/>
              <w:jc w:val="right"/>
              <w:rPr>
                <w:sz w:val="20"/>
              </w:rPr>
            </w:pPr>
            <w:r w:rsidRPr="00E420EC">
              <w:rPr>
                <w:sz w:val="20"/>
              </w:rPr>
              <w:t xml:space="preserve">Lk </w:t>
            </w:r>
            <w:r w:rsidRPr="00E420EC">
              <w:rPr>
                <w:b/>
                <w:bCs/>
                <w:szCs w:val="24"/>
              </w:rPr>
              <w:fldChar w:fldCharType="begin"/>
            </w:r>
            <w:r w:rsidRPr="00E420EC">
              <w:rPr>
                <w:b/>
                <w:bCs/>
                <w:sz w:val="20"/>
              </w:rPr>
              <w:instrText>PAGE</w:instrText>
            </w:r>
            <w:r w:rsidRPr="00E420EC">
              <w:rPr>
                <w:b/>
                <w:bCs/>
                <w:szCs w:val="24"/>
              </w:rPr>
              <w:fldChar w:fldCharType="separate"/>
            </w:r>
            <w:r w:rsidRPr="00E420EC">
              <w:rPr>
                <w:b/>
                <w:bCs/>
                <w:sz w:val="20"/>
              </w:rPr>
              <w:t>2</w:t>
            </w:r>
            <w:r w:rsidRPr="00E420EC">
              <w:rPr>
                <w:b/>
                <w:bCs/>
                <w:szCs w:val="24"/>
              </w:rPr>
              <w:fldChar w:fldCharType="end"/>
            </w:r>
            <w:r w:rsidRPr="00E420EC">
              <w:rPr>
                <w:sz w:val="20"/>
              </w:rPr>
              <w:t xml:space="preserve"> / </w:t>
            </w:r>
            <w:r w:rsidRPr="00E420EC">
              <w:rPr>
                <w:b/>
                <w:bCs/>
                <w:szCs w:val="24"/>
              </w:rPr>
              <w:fldChar w:fldCharType="begin"/>
            </w:r>
            <w:r w:rsidRPr="00E420EC">
              <w:rPr>
                <w:b/>
                <w:bCs/>
                <w:sz w:val="20"/>
              </w:rPr>
              <w:instrText>NUMPAGES</w:instrText>
            </w:r>
            <w:r w:rsidRPr="00E420EC">
              <w:rPr>
                <w:b/>
                <w:bCs/>
                <w:szCs w:val="24"/>
              </w:rPr>
              <w:fldChar w:fldCharType="separate"/>
            </w:r>
            <w:r w:rsidRPr="00E420EC">
              <w:rPr>
                <w:b/>
                <w:bCs/>
                <w:sz w:val="20"/>
              </w:rPr>
              <w:t>2</w:t>
            </w:r>
            <w:r w:rsidRPr="00E420EC">
              <w:rPr>
                <w:b/>
                <w:bCs/>
                <w:szCs w:val="24"/>
              </w:rPr>
              <w:fldChar w:fldCharType="end"/>
            </w:r>
          </w:p>
        </w:sdtContent>
      </w:sdt>
    </w:sdtContent>
  </w:sdt>
  <w:p w14:paraId="2B5FA7A3" w14:textId="77777777" w:rsidR="00E420EC" w:rsidRDefault="00E420E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136EC" w14:textId="77777777" w:rsidR="003E7E8A" w:rsidRDefault="003E7E8A" w:rsidP="008E7A67">
      <w:pPr>
        <w:spacing w:after="0" w:line="240" w:lineRule="auto"/>
      </w:pPr>
      <w:r>
        <w:separator/>
      </w:r>
    </w:p>
  </w:footnote>
  <w:footnote w:type="continuationSeparator" w:id="0">
    <w:p w14:paraId="01118C0A" w14:textId="77777777" w:rsidR="003E7E8A" w:rsidRDefault="003E7E8A" w:rsidP="008E7A67">
      <w:pPr>
        <w:spacing w:after="0" w:line="240" w:lineRule="auto"/>
      </w:pPr>
      <w:r>
        <w:continuationSeparator/>
      </w:r>
    </w:p>
  </w:footnote>
  <w:footnote w:id="1">
    <w:p w14:paraId="042F1776" w14:textId="77777777" w:rsidR="008E7A67" w:rsidRDefault="008E7A67" w:rsidP="008E7A67">
      <w:pPr>
        <w:pStyle w:val="Allmrkusetekst"/>
      </w:pPr>
      <w:r>
        <w:rPr>
          <w:rStyle w:val="Allmrkuseviide"/>
          <w:rFonts w:eastAsia="Calibri"/>
        </w:rPr>
        <w:footnoteRef/>
      </w:r>
      <w:r>
        <w:rPr>
          <w:rFonts w:ascii="Garamond" w:hAnsi="Garamond"/>
        </w:rPr>
        <w:t xml:space="preserve">Arvutuste aluseks 2015.a kaalutud </w:t>
      </w:r>
      <w:proofErr w:type="spellStart"/>
      <w:r>
        <w:rPr>
          <w:rFonts w:ascii="Garamond" w:hAnsi="Garamond"/>
        </w:rPr>
        <w:t>KOVide</w:t>
      </w:r>
      <w:proofErr w:type="spellEnd"/>
      <w:r>
        <w:rPr>
          <w:rFonts w:ascii="Garamond" w:hAnsi="Garamond"/>
        </w:rPr>
        <w:t xml:space="preserve"> maamaksu määrad. Keskmine on 2,27%</w:t>
      </w:r>
    </w:p>
  </w:footnote>
  <w:footnote w:id="2">
    <w:p w14:paraId="1DA3B062" w14:textId="77777777" w:rsidR="008E7A67" w:rsidRDefault="008E7A67" w:rsidP="008E7A67">
      <w:pPr>
        <w:pStyle w:val="Allmrkusetekst"/>
      </w:pPr>
      <w:r>
        <w:rPr>
          <w:rStyle w:val="Allmrkuseviide"/>
          <w:rFonts w:eastAsia="Calibri"/>
        </w:rPr>
        <w:footnoteRef/>
      </w:r>
      <w:r>
        <w:rPr>
          <w:rFonts w:ascii="Garamond" w:hAnsi="Garamond"/>
        </w:rPr>
        <w:t>Andmed on 2016. a kohta</w:t>
      </w:r>
    </w:p>
  </w:footnote>
  <w:footnote w:id="3">
    <w:p w14:paraId="2BB26104" w14:textId="77777777" w:rsidR="008E7A67" w:rsidRDefault="008E7A67" w:rsidP="008E7A67">
      <w:pPr>
        <w:pStyle w:val="Allmrkusetekst"/>
      </w:pPr>
      <w:r>
        <w:rPr>
          <w:rStyle w:val="Allmrkuseviide"/>
          <w:rFonts w:eastAsia="Calibri"/>
        </w:rPr>
        <w:footnoteRef/>
      </w:r>
      <w:r>
        <w:rPr>
          <w:rFonts w:ascii="Garamond" w:hAnsi="Garamond"/>
        </w:rPr>
        <w:t xml:space="preserve">Arvestus toimub keskmiste määrade alusel. </w:t>
      </w:r>
      <w:proofErr w:type="spellStart"/>
      <w:r>
        <w:rPr>
          <w:rFonts w:ascii="Garamond" w:hAnsi="Garamond"/>
        </w:rPr>
        <w:t>Üldmaa</w:t>
      </w:r>
      <w:proofErr w:type="spellEnd"/>
      <w:r>
        <w:rPr>
          <w:rFonts w:ascii="Garamond" w:hAnsi="Garamond"/>
        </w:rPr>
        <w:t xml:space="preserve"> kohta 1,25% ja loodusliku rohumaa kohta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67"/>
    <w:rsid w:val="0000628A"/>
    <w:rsid w:val="000854BF"/>
    <w:rsid w:val="000E20FF"/>
    <w:rsid w:val="000F4875"/>
    <w:rsid w:val="0014601B"/>
    <w:rsid w:val="00171998"/>
    <w:rsid w:val="0017460A"/>
    <w:rsid w:val="001801F8"/>
    <w:rsid w:val="001A657C"/>
    <w:rsid w:val="001C4418"/>
    <w:rsid w:val="001D6A99"/>
    <w:rsid w:val="0022130E"/>
    <w:rsid w:val="002B2211"/>
    <w:rsid w:val="002E3D5A"/>
    <w:rsid w:val="00373C0F"/>
    <w:rsid w:val="003C64D6"/>
    <w:rsid w:val="003D5134"/>
    <w:rsid w:val="003D70A9"/>
    <w:rsid w:val="003E7E8A"/>
    <w:rsid w:val="00420061"/>
    <w:rsid w:val="00463D97"/>
    <w:rsid w:val="00466BBD"/>
    <w:rsid w:val="004674E0"/>
    <w:rsid w:val="004F540B"/>
    <w:rsid w:val="005373DC"/>
    <w:rsid w:val="005C0B8B"/>
    <w:rsid w:val="005D454A"/>
    <w:rsid w:val="005F4CF8"/>
    <w:rsid w:val="00600144"/>
    <w:rsid w:val="00636390"/>
    <w:rsid w:val="00645892"/>
    <w:rsid w:val="00672F3A"/>
    <w:rsid w:val="00673918"/>
    <w:rsid w:val="0067448A"/>
    <w:rsid w:val="00674F3B"/>
    <w:rsid w:val="006801E9"/>
    <w:rsid w:val="006830ED"/>
    <w:rsid w:val="006E3904"/>
    <w:rsid w:val="006F7574"/>
    <w:rsid w:val="00757FBE"/>
    <w:rsid w:val="007B343F"/>
    <w:rsid w:val="007E3D96"/>
    <w:rsid w:val="0087106C"/>
    <w:rsid w:val="00887A9D"/>
    <w:rsid w:val="008E7A67"/>
    <w:rsid w:val="008F6A5C"/>
    <w:rsid w:val="00932FCF"/>
    <w:rsid w:val="009336EB"/>
    <w:rsid w:val="00935B58"/>
    <w:rsid w:val="00937F39"/>
    <w:rsid w:val="009566D4"/>
    <w:rsid w:val="00957729"/>
    <w:rsid w:val="009645CA"/>
    <w:rsid w:val="009938A6"/>
    <w:rsid w:val="009F6069"/>
    <w:rsid w:val="00A07BAC"/>
    <w:rsid w:val="00A169B0"/>
    <w:rsid w:val="00A44A3E"/>
    <w:rsid w:val="00A563E5"/>
    <w:rsid w:val="00B24122"/>
    <w:rsid w:val="00B43CAE"/>
    <w:rsid w:val="00B53E4C"/>
    <w:rsid w:val="00B57040"/>
    <w:rsid w:val="00B8448B"/>
    <w:rsid w:val="00BC3DD7"/>
    <w:rsid w:val="00BE3B7D"/>
    <w:rsid w:val="00C31E37"/>
    <w:rsid w:val="00CD1C12"/>
    <w:rsid w:val="00D3727D"/>
    <w:rsid w:val="00D618C6"/>
    <w:rsid w:val="00D656B6"/>
    <w:rsid w:val="00DB1253"/>
    <w:rsid w:val="00DB2136"/>
    <w:rsid w:val="00DF0646"/>
    <w:rsid w:val="00E420EC"/>
    <w:rsid w:val="00E74364"/>
    <w:rsid w:val="00E7580F"/>
    <w:rsid w:val="00F15323"/>
    <w:rsid w:val="00F338A4"/>
    <w:rsid w:val="00F36546"/>
    <w:rsid w:val="00F408B4"/>
    <w:rsid w:val="00F43C2B"/>
    <w:rsid w:val="00F82337"/>
    <w:rsid w:val="00FB004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4319"/>
  <w15:chartTrackingRefBased/>
  <w15:docId w15:val="{3EA257E1-776D-4D75-B3FF-07316584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7A67"/>
    <w:pPr>
      <w:spacing w:after="200" w:line="276" w:lineRule="auto"/>
    </w:pPr>
    <w:rPr>
      <w:rFonts w:ascii="Calibri" w:eastAsia="Calibri" w:hAnsi="Calibri" w:cs="Times New Roman"/>
    </w:rPr>
  </w:style>
  <w:style w:type="paragraph" w:styleId="Pealkiri1">
    <w:name w:val="heading 1"/>
    <w:basedOn w:val="Normaallaad"/>
    <w:next w:val="Normaallaad"/>
    <w:link w:val="Pealkiri1Mrk"/>
    <w:autoRedefine/>
    <w:uiPriority w:val="9"/>
    <w:qFormat/>
    <w:rsid w:val="00F36546"/>
    <w:pPr>
      <w:keepNext/>
      <w:keepLines/>
      <w:spacing w:before="240" w:after="240" w:line="240" w:lineRule="auto"/>
      <w:jc w:val="center"/>
      <w:outlineLvl w:val="0"/>
    </w:pPr>
    <w:rPr>
      <w:rFonts w:asciiTheme="minorHAnsi" w:eastAsiaTheme="majorEastAsia" w:hAnsiTheme="minorHAnsi" w:cstheme="majorBidi"/>
      <w:b/>
      <w:color w:val="2F5496" w:themeColor="accent1" w:themeShade="BF"/>
      <w:sz w:val="32"/>
      <w:szCs w:val="32"/>
      <w:u w:val="single"/>
    </w:rPr>
  </w:style>
  <w:style w:type="paragraph" w:styleId="Pealkiri2">
    <w:name w:val="heading 2"/>
    <w:basedOn w:val="Normaallaad"/>
    <w:next w:val="Normaallaad"/>
    <w:link w:val="Pealkiri2Mrk"/>
    <w:autoRedefine/>
    <w:uiPriority w:val="9"/>
    <w:unhideWhenUsed/>
    <w:qFormat/>
    <w:rsid w:val="00F36546"/>
    <w:pPr>
      <w:keepNext/>
      <w:keepLines/>
      <w:spacing w:before="120" w:after="120" w:line="259" w:lineRule="auto"/>
      <w:ind w:left="284"/>
      <w:outlineLvl w:val="1"/>
    </w:pPr>
    <w:rPr>
      <w:rFonts w:asciiTheme="minorHAnsi" w:eastAsiaTheme="majorEastAsia" w:hAnsiTheme="minorHAnsi" w:cstheme="majorBidi"/>
      <w:b/>
      <w:color w:val="2F5496" w:themeColor="accent1" w:themeShade="BF"/>
      <w:sz w:val="32"/>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36546"/>
    <w:rPr>
      <w:rFonts w:eastAsiaTheme="majorEastAsia" w:cstheme="majorBidi"/>
      <w:b/>
      <w:color w:val="2F5496" w:themeColor="accent1" w:themeShade="BF"/>
      <w:sz w:val="32"/>
      <w:szCs w:val="32"/>
      <w:u w:val="single"/>
    </w:rPr>
  </w:style>
  <w:style w:type="character" w:customStyle="1" w:styleId="Pealkiri2Mrk">
    <w:name w:val="Pealkiri 2 Märk"/>
    <w:basedOn w:val="Liguvaikefont"/>
    <w:link w:val="Pealkiri2"/>
    <w:uiPriority w:val="9"/>
    <w:rsid w:val="00F36546"/>
    <w:rPr>
      <w:rFonts w:eastAsiaTheme="majorEastAsia" w:cstheme="majorBidi"/>
      <w:b/>
      <w:color w:val="2F5496" w:themeColor="accent1" w:themeShade="BF"/>
      <w:sz w:val="32"/>
      <w:szCs w:val="26"/>
    </w:rPr>
  </w:style>
  <w:style w:type="table" w:styleId="Kontuurtabel">
    <w:name w:val="Table Grid"/>
    <w:basedOn w:val="Normaaltabel"/>
    <w:uiPriority w:val="39"/>
    <w:rsid w:val="008E7A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hedetaMrk">
    <w:name w:val="Vahedeta Märk"/>
    <w:link w:val="Vahedeta"/>
    <w:locked/>
    <w:rsid w:val="008E7A67"/>
  </w:style>
  <w:style w:type="paragraph" w:styleId="Vahedeta">
    <w:name w:val="No Spacing"/>
    <w:link w:val="VahedetaMrk"/>
    <w:qFormat/>
    <w:rsid w:val="008E7A67"/>
    <w:pPr>
      <w:spacing w:after="0" w:line="240" w:lineRule="auto"/>
    </w:pPr>
  </w:style>
  <w:style w:type="paragraph" w:customStyle="1" w:styleId="Standard">
    <w:name w:val="Standard"/>
    <w:rsid w:val="008E7A67"/>
    <w:pPr>
      <w:suppressAutoHyphens/>
      <w:autoSpaceDN w:val="0"/>
      <w:spacing w:after="200" w:line="276" w:lineRule="auto"/>
      <w:textAlignment w:val="baseline"/>
    </w:pPr>
    <w:rPr>
      <w:rFonts w:ascii="Times New Roman" w:eastAsia="PMingLiU" w:hAnsi="Times New Roman" w:cs="Times New Roman"/>
      <w:color w:val="000000"/>
      <w:kern w:val="3"/>
      <w:sz w:val="24"/>
      <w:szCs w:val="24"/>
      <w:lang w:eastAsia="zh-TW"/>
    </w:rPr>
  </w:style>
  <w:style w:type="paragraph" w:styleId="Allmrkusetekst">
    <w:name w:val="footnote text"/>
    <w:basedOn w:val="Normaallaad"/>
    <w:link w:val="AllmrkusetekstMrk"/>
    <w:rsid w:val="008E7A67"/>
    <w:pPr>
      <w:spacing w:after="0" w:line="240" w:lineRule="auto"/>
    </w:pPr>
    <w:rPr>
      <w:rFonts w:ascii="Times New Roman" w:eastAsia="Times New Roman" w:hAnsi="Times New Roman"/>
      <w:sz w:val="20"/>
      <w:szCs w:val="20"/>
      <w:lang w:eastAsia="et-EE"/>
    </w:rPr>
  </w:style>
  <w:style w:type="character" w:customStyle="1" w:styleId="AllmrkusetekstMrk">
    <w:name w:val="Allmärkuse tekst Märk"/>
    <w:basedOn w:val="Liguvaikefont"/>
    <w:link w:val="Allmrkusetekst"/>
    <w:rsid w:val="008E7A67"/>
    <w:rPr>
      <w:rFonts w:ascii="Times New Roman" w:eastAsia="Times New Roman" w:hAnsi="Times New Roman" w:cs="Times New Roman"/>
      <w:sz w:val="20"/>
      <w:szCs w:val="20"/>
      <w:lang w:eastAsia="et-EE"/>
    </w:rPr>
  </w:style>
  <w:style w:type="character" w:styleId="Allmrkuseviide">
    <w:name w:val="footnote reference"/>
    <w:rsid w:val="008E7A67"/>
    <w:rPr>
      <w:rFonts w:ascii="Times New Roman" w:hAnsi="Times New Roman" w:cs="Times New Roman"/>
      <w:vertAlign w:val="superscript"/>
    </w:rPr>
  </w:style>
  <w:style w:type="paragraph" w:styleId="Pis">
    <w:name w:val="header"/>
    <w:basedOn w:val="Normaallaad"/>
    <w:link w:val="PisMrk"/>
    <w:uiPriority w:val="99"/>
    <w:unhideWhenUsed/>
    <w:rsid w:val="00E420EC"/>
    <w:pPr>
      <w:tabs>
        <w:tab w:val="center" w:pos="4536"/>
        <w:tab w:val="right" w:pos="9072"/>
      </w:tabs>
      <w:spacing w:after="0" w:line="240" w:lineRule="auto"/>
    </w:pPr>
  </w:style>
  <w:style w:type="character" w:customStyle="1" w:styleId="PisMrk">
    <w:name w:val="Päis Märk"/>
    <w:basedOn w:val="Liguvaikefont"/>
    <w:link w:val="Pis"/>
    <w:uiPriority w:val="99"/>
    <w:rsid w:val="00E420EC"/>
    <w:rPr>
      <w:rFonts w:ascii="Calibri" w:eastAsia="Calibri" w:hAnsi="Calibri" w:cs="Times New Roman"/>
    </w:rPr>
  </w:style>
  <w:style w:type="paragraph" w:styleId="Jalus">
    <w:name w:val="footer"/>
    <w:basedOn w:val="Normaallaad"/>
    <w:link w:val="JalusMrk"/>
    <w:uiPriority w:val="99"/>
    <w:unhideWhenUsed/>
    <w:rsid w:val="00E420EC"/>
    <w:pPr>
      <w:tabs>
        <w:tab w:val="center" w:pos="4536"/>
        <w:tab w:val="right" w:pos="9072"/>
      </w:tabs>
      <w:spacing w:after="0" w:line="240" w:lineRule="auto"/>
    </w:pPr>
  </w:style>
  <w:style w:type="character" w:customStyle="1" w:styleId="JalusMrk">
    <w:name w:val="Jalus Märk"/>
    <w:basedOn w:val="Liguvaikefont"/>
    <w:link w:val="Jalus"/>
    <w:uiPriority w:val="99"/>
    <w:rsid w:val="00E420EC"/>
    <w:rPr>
      <w:rFonts w:ascii="Calibri" w:eastAsia="Calibri" w:hAnsi="Calibri" w:cs="Times New Roman"/>
    </w:rPr>
  </w:style>
  <w:style w:type="paragraph" w:styleId="Kehatekst2">
    <w:name w:val="Body Text 2"/>
    <w:basedOn w:val="Normaallaad"/>
    <w:link w:val="Kehatekst2Mrk"/>
    <w:uiPriority w:val="99"/>
    <w:semiHidden/>
    <w:rsid w:val="006801E9"/>
    <w:pPr>
      <w:spacing w:after="0" w:line="240" w:lineRule="auto"/>
    </w:pPr>
    <w:rPr>
      <w:rFonts w:ascii="Times New Roman" w:eastAsia="Times New Roman" w:hAnsi="Times New Roman"/>
      <w:b/>
      <w:sz w:val="24"/>
      <w:szCs w:val="20"/>
    </w:rPr>
  </w:style>
  <w:style w:type="character" w:customStyle="1" w:styleId="Kehatekst2Mrk">
    <w:name w:val="Kehatekst 2 Märk"/>
    <w:basedOn w:val="Liguvaikefont"/>
    <w:link w:val="Kehatekst2"/>
    <w:uiPriority w:val="99"/>
    <w:semiHidden/>
    <w:rsid w:val="006801E9"/>
    <w:rPr>
      <w:rFonts w:ascii="Times New Roman" w:eastAsia="Times New Roman" w:hAnsi="Times New Roman" w:cs="Times New Roman"/>
      <w:b/>
      <w:sz w:val="24"/>
      <w:szCs w:val="20"/>
    </w:rPr>
  </w:style>
  <w:style w:type="paragraph" w:styleId="Jutumullitekst">
    <w:name w:val="Balloon Text"/>
    <w:basedOn w:val="Normaallaad"/>
    <w:link w:val="JutumullitekstMrk"/>
    <w:uiPriority w:val="99"/>
    <w:semiHidden/>
    <w:unhideWhenUsed/>
    <w:rsid w:val="00932FCF"/>
    <w:pPr>
      <w:spacing w:after="0" w:line="240" w:lineRule="auto"/>
    </w:pPr>
    <w:rPr>
      <w:rFonts w:ascii="Segoe UI" w:eastAsiaTheme="minorHAnsi" w:hAnsi="Segoe UI" w:cs="Segoe UI"/>
      <w:sz w:val="18"/>
      <w:szCs w:val="18"/>
    </w:rPr>
  </w:style>
  <w:style w:type="character" w:customStyle="1" w:styleId="JutumullitekstMrk">
    <w:name w:val="Jutumullitekst Märk"/>
    <w:basedOn w:val="Liguvaikefont"/>
    <w:link w:val="Jutumullitekst"/>
    <w:uiPriority w:val="99"/>
    <w:semiHidden/>
    <w:rsid w:val="00932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6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7C9D7E32A07478E70149F33D6BB4D" ma:contentTypeVersion="11" ma:contentTypeDescription="Create a new document." ma:contentTypeScope="" ma:versionID="ec6072f1809585d85a35e48acb79f93d">
  <xsd:schema xmlns:xsd="http://www.w3.org/2001/XMLSchema" xmlns:xs="http://www.w3.org/2001/XMLSchema" xmlns:p="http://schemas.microsoft.com/office/2006/metadata/properties" xmlns:ns3="7ef0cdc4-cd7a-493f-b970-7fb20a21893a" xmlns:ns4="034ef33e-00d3-4289-a8da-0748eaed9007" targetNamespace="http://schemas.microsoft.com/office/2006/metadata/properties" ma:root="true" ma:fieldsID="da6459a6624b8aa50a22100a9124135d" ns3:_="" ns4:_="">
    <xsd:import namespace="7ef0cdc4-cd7a-493f-b970-7fb20a21893a"/>
    <xsd:import namespace="034ef33e-00d3-4289-a8da-0748eaed90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0cdc4-cd7a-493f-b970-7fb20a218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ef33e-00d3-4289-a8da-0748eaed90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976B6-5B9D-49D0-A06C-1BC97811E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0cdc4-cd7a-493f-b970-7fb20a21893a"/>
    <ds:schemaRef ds:uri="034ef33e-00d3-4289-a8da-0748eaed9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AE9BA-6BEF-4975-BE46-F9A2ABEDB8B5}">
  <ds:schemaRefs>
    <ds:schemaRef ds:uri="http://schemas.microsoft.com/sharepoint/v3/contenttype/forms"/>
  </ds:schemaRefs>
</ds:datastoreItem>
</file>

<file path=customXml/itemProps3.xml><?xml version="1.0" encoding="utf-8"?>
<ds:datastoreItem xmlns:ds="http://schemas.openxmlformats.org/officeDocument/2006/customXml" ds:itemID="{3AA9B1AA-A567-4E3E-83E5-F17B1DFE9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2690</Words>
  <Characters>15608</Characters>
  <Application>Microsoft Office Word</Application>
  <DocSecurity>4</DocSecurity>
  <Lines>130</Lines>
  <Paragraphs>36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Märt Moll</dc:creator>
  <cp:keywords/>
  <dc:description/>
  <cp:lastModifiedBy>Inga Köster</cp:lastModifiedBy>
  <cp:revision>2</cp:revision>
  <dcterms:created xsi:type="dcterms:W3CDTF">2019-11-13T09:13:00Z</dcterms:created>
  <dcterms:modified xsi:type="dcterms:W3CDTF">2019-11-13T09:13:00Z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0x010100CD87C9D7E32A07478E70149F33D6BB4D</vt:lpwstr>
  </property>
</Properties>
</file>